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E0060" w14:textId="77777777" w:rsidR="000615B1" w:rsidRDefault="00B27653" w:rsidP="00FA0FF0">
      <w:pPr>
        <w:spacing w:after="6400"/>
      </w:pPr>
      <w:r>
        <w:rPr>
          <w:noProof/>
        </w:rPr>
        <w:drawing>
          <wp:anchor distT="0" distB="0" distL="0" distR="0" simplePos="0" relativeHeight="251663360" behindDoc="0" locked="0" layoutInCell="1" allowOverlap="1" wp14:anchorId="082D8EF2" wp14:editId="56D19FE5">
            <wp:simplePos x="0" y="0"/>
            <wp:positionH relativeFrom="column">
              <wp:posOffset>-900431</wp:posOffset>
            </wp:positionH>
            <wp:positionV relativeFrom="paragraph">
              <wp:posOffset>1962988</wp:posOffset>
            </wp:positionV>
            <wp:extent cx="7559675" cy="1946179"/>
            <wp:effectExtent l="0" t="0" r="3175" b="0"/>
            <wp:wrapNone/>
            <wp:docPr id="4" name="Bilde 4" descr="Et bilde som inneholder tekst, konsert,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konsert, musikk&#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7559675" cy="1946179"/>
                    </a:xfrm>
                    <a:prstGeom prst="rect">
                      <a:avLst/>
                    </a:prstGeom>
                  </pic:spPr>
                </pic:pic>
              </a:graphicData>
            </a:graphic>
            <wp14:sizeRelH relativeFrom="page">
              <wp14:pctWidth>0</wp14:pctWidth>
            </wp14:sizeRelH>
            <wp14:sizeRelV relativeFrom="page">
              <wp14:pctHeight>0</wp14:pctHeight>
            </wp14:sizeRelV>
          </wp:anchor>
        </w:drawing>
      </w:r>
      <w:r w:rsidR="00E45F80">
        <w:rPr>
          <w:noProof/>
        </w:rPr>
        <w:drawing>
          <wp:anchor distT="0" distB="0" distL="0" distR="0" simplePos="0" relativeHeight="251662336" behindDoc="1" locked="0" layoutInCell="1" allowOverlap="1" wp14:anchorId="42F0070E" wp14:editId="0D4B8F63">
            <wp:simplePos x="0" y="0"/>
            <wp:positionH relativeFrom="column">
              <wp:posOffset>-900429</wp:posOffset>
            </wp:positionH>
            <wp:positionV relativeFrom="paragraph">
              <wp:posOffset>1960777</wp:posOffset>
            </wp:positionV>
            <wp:extent cx="7559710" cy="7633970"/>
            <wp:effectExtent l="0" t="0" r="3175" b="508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710" cy="763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76B">
        <w:rPr>
          <w:noProof/>
        </w:rPr>
        <mc:AlternateContent>
          <mc:Choice Requires="wps">
            <w:drawing>
              <wp:anchor distT="0" distB="0" distL="0" distR="0" simplePos="0" relativeHeight="251657214" behindDoc="0" locked="1" layoutInCell="1" allowOverlap="0" wp14:anchorId="26C880A3" wp14:editId="74FBC57A">
                <wp:simplePos x="0" y="0"/>
                <wp:positionH relativeFrom="column">
                  <wp:posOffset>-900430</wp:posOffset>
                </wp:positionH>
                <wp:positionV relativeFrom="paragraph">
                  <wp:posOffset>1958340</wp:posOffset>
                </wp:positionV>
                <wp:extent cx="7560000" cy="1947600"/>
                <wp:effectExtent l="0" t="0" r="317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947600"/>
                        </a:xfrm>
                        <a:prstGeom prst="rect">
                          <a:avLst/>
                        </a:prstGeom>
                        <a:solidFill>
                          <a:schemeClr val="bg2"/>
                        </a:solidFill>
                        <a:ln w="9525">
                          <a:noFill/>
                          <a:miter lim="800000"/>
                          <a:headEnd/>
                          <a:tailEnd/>
                        </a:ln>
                      </wps:spPr>
                      <wps:txbx>
                        <w:txbxContent>
                          <w:p w14:paraId="729CACAC" w14:textId="77777777" w:rsidR="00596004" w:rsidRPr="00596004" w:rsidRDefault="00596004" w:rsidP="00596004">
                            <w:pPr>
                              <w:ind w:left="-142" w:right="-161"/>
                              <w:jc w:val="center"/>
                              <w:rPr>
                                <w:b/>
                                <w:bCs/>
                                <w:sz w:val="32"/>
                                <w:szCs w:val="32"/>
                              </w:rPr>
                            </w:pPr>
                            <w:r w:rsidRPr="00596004">
                              <w:rPr>
                                <w:b/>
                                <w:bCs/>
                                <w:sz w:val="32"/>
                                <w:szCs w:val="32"/>
                              </w:rPr>
                              <w:t>Sett inn riktig frise her</w:t>
                            </w:r>
                            <w:r>
                              <w:rPr>
                                <w:b/>
                                <w:bCs/>
                                <w:sz w:val="32"/>
                                <w:szCs w:val="32"/>
                              </w:rPr>
                              <w:t xml:space="preserve"> via </w:t>
                            </w:r>
                            <w:r w:rsidRPr="00596004">
                              <w:rPr>
                                <w:b/>
                                <w:bCs/>
                                <w:sz w:val="32"/>
                                <w:szCs w:val="32"/>
                              </w:rPr>
                              <w:t>«Sett inn -&gt; «Forside»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C880A3" id="_x0000_t202" coordsize="21600,21600" o:spt="202" path="m,l,21600r21600,l21600,xe">
                <v:stroke joinstyle="miter"/>
                <v:path gradientshapeok="t" o:connecttype="rect"/>
              </v:shapetype>
              <v:shape id="Tekstboks 2" o:spid="_x0000_s1026" type="#_x0000_t202" style="position:absolute;margin-left:-70.9pt;margin-top:154.2pt;width:595.3pt;height:153.35pt;z-index:2516572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" o:allowoverlap="f" fillcolor="#e7e5e1 [3214]" stroked="f">
                <v:textbox>
                  <w:txbxContent>
                    <w:p w14:paraId="729CACAC" w14:textId="77777777" w:rsidR="00596004" w:rsidRPr="00596004" w:rsidRDefault="00596004" w:rsidP="00596004">
                      <w:pPr>
                        <w:ind w:left="-142" w:right="-161"/>
                        <w:jc w:val="center"/>
                        <w:rPr>
                          <w:b/>
                          <w:bCs/>
                          <w:sz w:val="32"/>
                          <w:szCs w:val="32"/>
                        </w:rPr>
                      </w:pPr>
                      <w:r w:rsidRPr="00596004">
                        <w:rPr>
                          <w:b/>
                          <w:bCs/>
                          <w:sz w:val="32"/>
                          <w:szCs w:val="32"/>
                        </w:rPr>
                        <w:t>Sett inn riktig frise her</w:t>
                      </w:r>
                      <w:r>
                        <w:rPr>
                          <w:b/>
                          <w:bCs/>
                          <w:sz w:val="32"/>
                          <w:szCs w:val="32"/>
                        </w:rPr>
                        <w:t xml:space="preserve"> via </w:t>
                      </w:r>
                      <w:r w:rsidRPr="00596004">
                        <w:rPr>
                          <w:b/>
                          <w:bCs/>
                          <w:sz w:val="32"/>
                          <w:szCs w:val="32"/>
                        </w:rPr>
                        <w:t>«Sett inn -&gt; «Forside»</w:t>
                      </w:r>
                    </w:p>
                  </w:txbxContent>
                </v:textbox>
                <w10:wrap type="square"/>
                <w10:anchorlock/>
              </v:shape>
            </w:pict>
          </mc:Fallback>
        </mc:AlternateContent>
      </w:r>
      <w:r w:rsidR="00FA0FF0">
        <w:rPr>
          <w:noProof/>
        </w:rPr>
        <w:drawing>
          <wp:anchor distT="0" distB="0" distL="114300" distR="114300" simplePos="0" relativeHeight="251661312" behindDoc="1" locked="0" layoutInCell="1" allowOverlap="1" wp14:anchorId="79D3D878" wp14:editId="4F247D3D">
            <wp:simplePos x="0" y="0"/>
            <wp:positionH relativeFrom="page">
              <wp:posOffset>517525</wp:posOffset>
            </wp:positionH>
            <wp:positionV relativeFrom="page">
              <wp:posOffset>1980565</wp:posOffset>
            </wp:positionV>
            <wp:extent cx="5040000" cy="558000"/>
            <wp:effectExtent l="0" t="0" r="0" b="0"/>
            <wp:wrapNone/>
            <wp:docPr id="20" name="Grafik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k 6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040000" cy="558000"/>
                    </a:xfrm>
                    <a:prstGeom prst="rect">
                      <a:avLst/>
                    </a:prstGeom>
                  </pic:spPr>
                </pic:pic>
              </a:graphicData>
            </a:graphic>
            <wp14:sizeRelH relativeFrom="margin">
              <wp14:pctWidth>0</wp14:pctWidth>
            </wp14:sizeRelH>
            <wp14:sizeRelV relativeFrom="margin">
              <wp14:pctHeight>0</wp14:pctHeight>
            </wp14:sizeRelV>
          </wp:anchor>
        </w:drawing>
      </w:r>
    </w:p>
    <w:p w14:paraId="14912377" w14:textId="49878CEC" w:rsidR="000100E5" w:rsidRPr="00BE30CB" w:rsidRDefault="000100E5" w:rsidP="000100E5">
      <w:pPr>
        <w:pStyle w:val="Tittel"/>
        <w:rPr>
          <w:sz w:val="36"/>
          <w:szCs w:val="36"/>
        </w:rPr>
      </w:pPr>
      <w:bookmarkStart w:id="0" w:name="_Hlk104545423"/>
      <w:bookmarkStart w:id="1" w:name="_Hlk110843669"/>
      <w:r w:rsidRPr="00BE30CB">
        <w:rPr>
          <w:sz w:val="36"/>
          <w:szCs w:val="36"/>
        </w:rPr>
        <w:t xml:space="preserve">Arbeidsdokument </w:t>
      </w:r>
    </w:p>
    <w:bookmarkStart w:id="2" w:name="Tittel"/>
    <w:bookmarkStart w:id="3" w:name="_Hlk104968657"/>
    <w:bookmarkStart w:id="4" w:name="_Hlk104971912"/>
    <w:p w14:paraId="1F0A55BD" w14:textId="16688B3F" w:rsidR="000100E5" w:rsidRPr="00BE30CB" w:rsidRDefault="00D86F8A" w:rsidP="000100E5">
      <w:pPr>
        <w:pStyle w:val="Undertittel"/>
        <w:rPr>
          <w:sz w:val="56"/>
          <w:szCs w:val="56"/>
        </w:rPr>
      </w:pPr>
      <w:r w:rsidRPr="00BE30CB">
        <w:rPr>
          <w:sz w:val="56"/>
          <w:szCs w:val="56"/>
        </w:rPr>
        <w:fldChar w:fldCharType="begin"/>
      </w:r>
      <w:r w:rsidRPr="00BE30CB">
        <w:rPr>
          <w:sz w:val="56"/>
          <w:szCs w:val="56"/>
        </w:rPr>
        <w:instrText xml:space="preserve"> FILLIN  Tittel </w:instrText>
      </w:r>
      <w:r w:rsidRPr="00BE30CB">
        <w:rPr>
          <w:sz w:val="56"/>
          <w:szCs w:val="56"/>
        </w:rPr>
        <w:fldChar w:fldCharType="separate"/>
      </w:r>
      <w:r w:rsidR="00BE30CB" w:rsidRPr="00BE30CB">
        <w:rPr>
          <w:sz w:val="56"/>
          <w:szCs w:val="56"/>
        </w:rPr>
        <w:t>Kapittel 1.1 Infrastruktur for syklister</w:t>
      </w:r>
      <w:r w:rsidRPr="00BE30CB">
        <w:rPr>
          <w:sz w:val="56"/>
          <w:szCs w:val="56"/>
        </w:rPr>
        <w:fldChar w:fldCharType="end"/>
      </w:r>
      <w:bookmarkEnd w:id="2"/>
    </w:p>
    <w:bookmarkStart w:id="5" w:name="Forfattere"/>
    <w:bookmarkEnd w:id="3"/>
    <w:bookmarkEnd w:id="4"/>
    <w:p w14:paraId="6A87EE67" w14:textId="1918A286" w:rsidR="000100E5" w:rsidRPr="00496D48" w:rsidRDefault="000100E5" w:rsidP="000100E5">
      <w:pPr>
        <w:pStyle w:val="Navn"/>
      </w:pPr>
      <w:r>
        <w:fldChar w:fldCharType="begin"/>
      </w:r>
      <w:r>
        <w:instrText xml:space="preserve"> FILLIN  "Forfattere (skill med komma)"  \* MERGEFORMAT </w:instrText>
      </w:r>
      <w:r>
        <w:fldChar w:fldCharType="separate"/>
      </w:r>
      <w:r w:rsidR="00BE30CB">
        <w:t>Alena Katharina Høye</w:t>
      </w:r>
      <w:r>
        <w:fldChar w:fldCharType="end"/>
      </w:r>
      <w:r>
        <w:t xml:space="preserve"> </w:t>
      </w:r>
      <w:bookmarkEnd w:id="5"/>
    </w:p>
    <w:p w14:paraId="7BD1CED7" w14:textId="22AAF5A4" w:rsidR="000100E5" w:rsidRDefault="000100E5" w:rsidP="000100E5">
      <w:pPr>
        <w:tabs>
          <w:tab w:val="center" w:pos="4535"/>
        </w:tabs>
        <w:rPr>
          <w:color w:val="FFFFFF" w:themeColor="background1"/>
        </w:rPr>
      </w:pPr>
      <w:r>
        <w:rPr>
          <w:color w:val="FFFFFF" w:themeColor="background1"/>
        </w:rPr>
        <w:fldChar w:fldCharType="begin"/>
      </w:r>
      <w:r>
        <w:rPr>
          <w:color w:val="FFFFFF" w:themeColor="background1"/>
        </w:rPr>
        <w:instrText xml:space="preserve"> FILLIN  Prosjektnummer  \* MERGEFORMAT </w:instrText>
      </w:r>
      <w:r>
        <w:rPr>
          <w:color w:val="FFFFFF" w:themeColor="background1"/>
        </w:rPr>
        <w:fldChar w:fldCharType="separate"/>
      </w:r>
      <w:r w:rsidR="00BE30CB">
        <w:rPr>
          <w:color w:val="FFFFFF" w:themeColor="background1"/>
        </w:rPr>
        <w:t>1175</w:t>
      </w:r>
      <w:r>
        <w:rPr>
          <w:color w:val="FFFFFF" w:themeColor="background1"/>
        </w:rPr>
        <w:fldChar w:fldCharType="end"/>
      </w:r>
      <w:r>
        <w:rPr>
          <w:color w:val="FFFFFF" w:themeColor="background1"/>
        </w:rPr>
        <w:t xml:space="preserve"> - </w:t>
      </w:r>
      <w:r>
        <w:rPr>
          <w:color w:val="FFFFFF" w:themeColor="background1"/>
        </w:rPr>
        <w:fldChar w:fldCharType="begin"/>
      </w:r>
      <w:r>
        <w:rPr>
          <w:color w:val="FFFFFF" w:themeColor="background1"/>
        </w:rPr>
        <w:instrText xml:space="preserve"> FILLIN  Prosjektnavn  \* MERGEFORMAT </w:instrText>
      </w:r>
      <w:r>
        <w:rPr>
          <w:color w:val="FFFFFF" w:themeColor="background1"/>
        </w:rPr>
        <w:fldChar w:fldCharType="separate"/>
      </w:r>
      <w:r w:rsidR="00BE30CB">
        <w:rPr>
          <w:color w:val="FFFFFF" w:themeColor="background1"/>
        </w:rPr>
        <w:t>Trafikksikkerhetshåndboken</w:t>
      </w:r>
      <w:r>
        <w:rPr>
          <w:color w:val="FFFFFF" w:themeColor="background1"/>
        </w:rPr>
        <w:fldChar w:fldCharType="end"/>
      </w:r>
      <w:r>
        <w:rPr>
          <w:color w:val="FFFFFF" w:themeColor="background1"/>
        </w:rPr>
        <w:t xml:space="preserve"> </w:t>
      </w:r>
    </w:p>
    <w:bookmarkEnd w:id="0"/>
    <w:p w14:paraId="3AF8FDC0" w14:textId="0CA8F9E5" w:rsidR="008506D9" w:rsidRPr="008506D9" w:rsidRDefault="004876A6" w:rsidP="008506D9">
      <w:pPr>
        <w:pStyle w:val="Rapportnummer"/>
        <w:rPr>
          <w:color w:val="auto"/>
          <w:sz w:val="28"/>
          <w:szCs w:val="28"/>
        </w:rPr>
      </w:pPr>
      <w:r>
        <w:rPr>
          <w:sz w:val="28"/>
          <w:szCs w:val="28"/>
        </w:rPr>
        <w:t>22. august 2025</w:t>
      </w:r>
    </w:p>
    <w:tbl>
      <w:tblPr>
        <w:tblStyle w:val="Tabellrutenett"/>
        <w:tblpPr w:leftFromText="181" w:rightFromText="181" w:vertAnchor="page" w:tblpY="15027"/>
        <w:tblOverlap w:val="nev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tblGrid>
      <w:tr w:rsidR="000100E5" w:rsidRPr="00287A7C" w14:paraId="081E71CF" w14:textId="77777777" w:rsidTr="00B57DD0">
        <w:tc>
          <w:tcPr>
            <w:tcW w:w="7371" w:type="dxa"/>
          </w:tcPr>
          <w:p w14:paraId="7D2B7B19" w14:textId="77777777" w:rsidR="000100E5" w:rsidRPr="00287A7C" w:rsidRDefault="000100E5" w:rsidP="00B57DD0">
            <w:pPr>
              <w:spacing w:before="0" w:after="0"/>
              <w:rPr>
                <w:rFonts w:cs="Calibri"/>
              </w:rPr>
            </w:pPr>
            <w:r w:rsidRPr="00287A7C">
              <w:rPr>
                <w:sz w:val="18"/>
                <w:szCs w:val="18"/>
              </w:rPr>
              <w:t>Dette materialet er ikke offentliggjort. Det kan kun brukes i den saklige sammenheng det er gitt.</w:t>
            </w:r>
            <w:r w:rsidRPr="00287A7C">
              <w:rPr>
                <w:sz w:val="18"/>
                <w:szCs w:val="18"/>
              </w:rPr>
              <w:br/>
              <w:t>Det skal ikke tas noen form for kopier til annen bruk eller spredning. Unntak må klareres med TØI.</w:t>
            </w:r>
          </w:p>
        </w:tc>
      </w:tr>
    </w:tbl>
    <w:p w14:paraId="1300D244" w14:textId="77777777" w:rsidR="000100E5" w:rsidRDefault="000100E5" w:rsidP="000100E5">
      <w:pPr>
        <w:sectPr w:rsidR="000100E5" w:rsidSect="00F65073">
          <w:footerReference w:type="default" r:id="rId16"/>
          <w:pgSz w:w="11906" w:h="16838" w:code="9"/>
          <w:pgMar w:top="1701" w:right="1418" w:bottom="397" w:left="1418" w:header="851" w:footer="397" w:gutter="0"/>
          <w:pgNumType w:start="0"/>
          <w:cols w:space="708"/>
          <w:docGrid w:linePitch="360"/>
        </w:sectPr>
      </w:pPr>
    </w:p>
    <w:bookmarkEnd w:id="1" w:displacedByCustomXml="next"/>
    <w:sdt>
      <w:sdtPr>
        <w:rPr>
          <w:rFonts w:asciiTheme="minorHAnsi" w:eastAsiaTheme="minorHAnsi" w:hAnsiTheme="minorHAnsi" w:cstheme="minorBidi"/>
          <w:b w:val="0"/>
          <w:color w:val="auto"/>
          <w:sz w:val="21"/>
          <w:szCs w:val="22"/>
        </w:rPr>
        <w:id w:val="1156102563"/>
        <w:docPartObj>
          <w:docPartGallery w:val="Table of Contents"/>
          <w:docPartUnique/>
        </w:docPartObj>
      </w:sdtPr>
      <w:sdtEndPr>
        <w:rPr>
          <w:rFonts w:ascii="Calibri" w:hAnsi="Calibri"/>
          <w:bCs/>
          <w:sz w:val="22"/>
        </w:rPr>
      </w:sdtEndPr>
      <w:sdtContent>
        <w:p w14:paraId="218F39CC" w14:textId="77777777" w:rsidR="00190818" w:rsidRDefault="00190818" w:rsidP="001F1A4F">
          <w:pPr>
            <w:pStyle w:val="Overskriftutennummer"/>
          </w:pPr>
          <w:r>
            <w:t>Innhold</w:t>
          </w:r>
        </w:p>
        <w:p w14:paraId="364E443F" w14:textId="328B74A7" w:rsidR="0055128F" w:rsidRDefault="00B15395">
          <w:pPr>
            <w:pStyle w:val="INNH1"/>
            <w:rPr>
              <w:rFonts w:asciiTheme="minorHAnsi" w:eastAsiaTheme="minorEastAsia" w:hAnsiTheme="minorHAnsi"/>
              <w:b w:val="0"/>
              <w:kern w:val="2"/>
              <w:sz w:val="24"/>
              <w:szCs w:val="24"/>
              <w14:ligatures w14:val="standardContextual"/>
            </w:rPr>
          </w:pPr>
          <w:r>
            <w:fldChar w:fldCharType="begin"/>
          </w:r>
          <w:r>
            <w:instrText xml:space="preserve"> TOC \h \z \t "Overskrift 1;1;Overskrift 2;2;Vedlegg;1;Vedlegg 1;2" </w:instrText>
          </w:r>
          <w:r>
            <w:fldChar w:fldCharType="separate"/>
          </w:r>
          <w:hyperlink w:anchor="_Toc206753734" w:history="1">
            <w:r w:rsidR="0055128F" w:rsidRPr="004F5D2A">
              <w:rPr>
                <w:rStyle w:val="Hyperkobling"/>
                <w:lang w:val="sv-SE"/>
              </w:rPr>
              <w:t>1</w:t>
            </w:r>
            <w:r w:rsidR="0055128F">
              <w:rPr>
                <w:rFonts w:asciiTheme="minorHAnsi" w:eastAsiaTheme="minorEastAsia" w:hAnsiTheme="minorHAnsi"/>
                <w:b w:val="0"/>
                <w:kern w:val="2"/>
                <w:sz w:val="24"/>
                <w:szCs w:val="24"/>
                <w14:ligatures w14:val="standardContextual"/>
              </w:rPr>
              <w:tab/>
            </w:r>
            <w:r w:rsidR="0055128F" w:rsidRPr="004F5D2A">
              <w:rPr>
                <w:rStyle w:val="Hyperkobling"/>
                <w:lang w:val="sv-SE"/>
              </w:rPr>
              <w:t>Problem og formål</w:t>
            </w:r>
            <w:r w:rsidR="0055128F">
              <w:rPr>
                <w:webHidden/>
              </w:rPr>
              <w:tab/>
            </w:r>
            <w:r w:rsidR="0055128F">
              <w:rPr>
                <w:webHidden/>
              </w:rPr>
              <w:fldChar w:fldCharType="begin"/>
            </w:r>
            <w:r w:rsidR="0055128F">
              <w:rPr>
                <w:webHidden/>
              </w:rPr>
              <w:instrText xml:space="preserve"> PAGEREF _Toc206753734 \h </w:instrText>
            </w:r>
            <w:r w:rsidR="0055128F">
              <w:rPr>
                <w:webHidden/>
              </w:rPr>
            </w:r>
            <w:r w:rsidR="0055128F">
              <w:rPr>
                <w:webHidden/>
              </w:rPr>
              <w:fldChar w:fldCharType="separate"/>
            </w:r>
            <w:r w:rsidR="0055128F">
              <w:rPr>
                <w:webHidden/>
              </w:rPr>
              <w:t>1</w:t>
            </w:r>
            <w:r w:rsidR="0055128F">
              <w:rPr>
                <w:webHidden/>
              </w:rPr>
              <w:fldChar w:fldCharType="end"/>
            </w:r>
          </w:hyperlink>
        </w:p>
        <w:p w14:paraId="739D0339" w14:textId="4476213B" w:rsidR="0055128F" w:rsidRDefault="0055128F">
          <w:pPr>
            <w:pStyle w:val="INNH2"/>
            <w:rPr>
              <w:rFonts w:asciiTheme="minorHAnsi" w:eastAsiaTheme="minorEastAsia" w:hAnsiTheme="minorHAnsi"/>
              <w:kern w:val="2"/>
              <w:sz w:val="24"/>
              <w:szCs w:val="24"/>
              <w14:ligatures w14:val="standardContextual"/>
            </w:rPr>
          </w:pPr>
          <w:hyperlink w:anchor="_Toc206753735" w:history="1">
            <w:r w:rsidRPr="004F5D2A">
              <w:rPr>
                <w:rStyle w:val="Hyperkobling"/>
              </w:rPr>
              <w:t>1.1</w:t>
            </w:r>
            <w:r>
              <w:rPr>
                <w:rFonts w:asciiTheme="minorHAnsi" w:eastAsiaTheme="minorEastAsia" w:hAnsiTheme="minorHAnsi"/>
                <w:kern w:val="2"/>
                <w:sz w:val="24"/>
                <w:szCs w:val="24"/>
                <w14:ligatures w14:val="standardContextual"/>
              </w:rPr>
              <w:tab/>
            </w:r>
            <w:r w:rsidRPr="004F5D2A">
              <w:rPr>
                <w:rStyle w:val="Hyperkobling"/>
              </w:rPr>
              <w:t>Sykkelulykker i Norge</w:t>
            </w:r>
            <w:r>
              <w:rPr>
                <w:webHidden/>
              </w:rPr>
              <w:tab/>
            </w:r>
            <w:r>
              <w:rPr>
                <w:webHidden/>
              </w:rPr>
              <w:fldChar w:fldCharType="begin"/>
            </w:r>
            <w:r>
              <w:rPr>
                <w:webHidden/>
              </w:rPr>
              <w:instrText xml:space="preserve"> PAGEREF _Toc206753735 \h </w:instrText>
            </w:r>
            <w:r>
              <w:rPr>
                <w:webHidden/>
              </w:rPr>
            </w:r>
            <w:r>
              <w:rPr>
                <w:webHidden/>
              </w:rPr>
              <w:fldChar w:fldCharType="separate"/>
            </w:r>
            <w:r>
              <w:rPr>
                <w:webHidden/>
              </w:rPr>
              <w:t>2</w:t>
            </w:r>
            <w:r>
              <w:rPr>
                <w:webHidden/>
              </w:rPr>
              <w:fldChar w:fldCharType="end"/>
            </w:r>
          </w:hyperlink>
        </w:p>
        <w:p w14:paraId="6991867C" w14:textId="3F758F73" w:rsidR="0055128F" w:rsidRDefault="0055128F">
          <w:pPr>
            <w:pStyle w:val="INNH2"/>
            <w:rPr>
              <w:rFonts w:asciiTheme="minorHAnsi" w:eastAsiaTheme="minorEastAsia" w:hAnsiTheme="minorHAnsi"/>
              <w:kern w:val="2"/>
              <w:sz w:val="24"/>
              <w:szCs w:val="24"/>
              <w14:ligatures w14:val="standardContextual"/>
            </w:rPr>
          </w:pPr>
          <w:hyperlink w:anchor="_Toc206753736" w:history="1">
            <w:r w:rsidRPr="004F5D2A">
              <w:rPr>
                <w:rStyle w:val="Hyperkobling"/>
              </w:rPr>
              <w:t>1.2</w:t>
            </w:r>
            <w:r>
              <w:rPr>
                <w:rFonts w:asciiTheme="minorHAnsi" w:eastAsiaTheme="minorEastAsia" w:hAnsiTheme="minorHAnsi"/>
                <w:kern w:val="2"/>
                <w:sz w:val="24"/>
                <w:szCs w:val="24"/>
                <w14:ligatures w14:val="standardContextual"/>
              </w:rPr>
              <w:tab/>
            </w:r>
            <w:r w:rsidRPr="004F5D2A">
              <w:rPr>
                <w:rStyle w:val="Hyperkobling"/>
              </w:rPr>
              <w:t>Strekninger vs. kryss</w:t>
            </w:r>
            <w:r>
              <w:rPr>
                <w:webHidden/>
              </w:rPr>
              <w:tab/>
            </w:r>
            <w:r>
              <w:rPr>
                <w:webHidden/>
              </w:rPr>
              <w:fldChar w:fldCharType="begin"/>
            </w:r>
            <w:r>
              <w:rPr>
                <w:webHidden/>
              </w:rPr>
              <w:instrText xml:space="preserve"> PAGEREF _Toc206753736 \h </w:instrText>
            </w:r>
            <w:r>
              <w:rPr>
                <w:webHidden/>
              </w:rPr>
            </w:r>
            <w:r>
              <w:rPr>
                <w:webHidden/>
              </w:rPr>
              <w:fldChar w:fldCharType="separate"/>
            </w:r>
            <w:r>
              <w:rPr>
                <w:webHidden/>
              </w:rPr>
              <w:t>2</w:t>
            </w:r>
            <w:r>
              <w:rPr>
                <w:webHidden/>
              </w:rPr>
              <w:fldChar w:fldCharType="end"/>
            </w:r>
          </w:hyperlink>
        </w:p>
        <w:p w14:paraId="0EE128BA" w14:textId="38A959C0" w:rsidR="0055128F" w:rsidRDefault="0055128F">
          <w:pPr>
            <w:pStyle w:val="INNH1"/>
            <w:rPr>
              <w:rFonts w:asciiTheme="minorHAnsi" w:eastAsiaTheme="minorEastAsia" w:hAnsiTheme="minorHAnsi"/>
              <w:b w:val="0"/>
              <w:kern w:val="2"/>
              <w:sz w:val="24"/>
              <w:szCs w:val="24"/>
              <w14:ligatures w14:val="standardContextual"/>
            </w:rPr>
          </w:pPr>
          <w:hyperlink w:anchor="_Toc206753737" w:history="1">
            <w:r w:rsidRPr="004F5D2A">
              <w:rPr>
                <w:rStyle w:val="Hyperkobling"/>
              </w:rPr>
              <w:t>2</w:t>
            </w:r>
            <w:r>
              <w:rPr>
                <w:rFonts w:asciiTheme="minorHAnsi" w:eastAsiaTheme="minorEastAsia" w:hAnsiTheme="minorHAnsi"/>
                <w:b w:val="0"/>
                <w:kern w:val="2"/>
                <w:sz w:val="24"/>
                <w:szCs w:val="24"/>
                <w14:ligatures w14:val="standardContextual"/>
              </w:rPr>
              <w:tab/>
            </w:r>
            <w:r w:rsidRPr="004F5D2A">
              <w:rPr>
                <w:rStyle w:val="Hyperkobling"/>
              </w:rPr>
              <w:t>Beskrivelse av tiltaket</w:t>
            </w:r>
            <w:r>
              <w:rPr>
                <w:webHidden/>
              </w:rPr>
              <w:tab/>
            </w:r>
            <w:r>
              <w:rPr>
                <w:webHidden/>
              </w:rPr>
              <w:fldChar w:fldCharType="begin"/>
            </w:r>
            <w:r>
              <w:rPr>
                <w:webHidden/>
              </w:rPr>
              <w:instrText xml:space="preserve"> PAGEREF _Toc206753737 \h </w:instrText>
            </w:r>
            <w:r>
              <w:rPr>
                <w:webHidden/>
              </w:rPr>
            </w:r>
            <w:r>
              <w:rPr>
                <w:webHidden/>
              </w:rPr>
              <w:fldChar w:fldCharType="separate"/>
            </w:r>
            <w:r>
              <w:rPr>
                <w:webHidden/>
              </w:rPr>
              <w:t>3</w:t>
            </w:r>
            <w:r>
              <w:rPr>
                <w:webHidden/>
              </w:rPr>
              <w:fldChar w:fldCharType="end"/>
            </w:r>
          </w:hyperlink>
        </w:p>
        <w:p w14:paraId="6EE42DB3" w14:textId="1009C7BB" w:rsidR="0055128F" w:rsidRDefault="0055128F">
          <w:pPr>
            <w:pStyle w:val="INNH1"/>
            <w:rPr>
              <w:rFonts w:asciiTheme="minorHAnsi" w:eastAsiaTheme="minorEastAsia" w:hAnsiTheme="minorHAnsi"/>
              <w:b w:val="0"/>
              <w:kern w:val="2"/>
              <w:sz w:val="24"/>
              <w:szCs w:val="24"/>
              <w14:ligatures w14:val="standardContextual"/>
            </w:rPr>
          </w:pPr>
          <w:hyperlink w:anchor="_Toc206753738" w:history="1">
            <w:r w:rsidRPr="004F5D2A">
              <w:rPr>
                <w:rStyle w:val="Hyperkobling"/>
              </w:rPr>
              <w:t>3</w:t>
            </w:r>
            <w:r>
              <w:rPr>
                <w:rFonts w:asciiTheme="minorHAnsi" w:eastAsiaTheme="minorEastAsia" w:hAnsiTheme="minorHAnsi"/>
                <w:b w:val="0"/>
                <w:kern w:val="2"/>
                <w:sz w:val="24"/>
                <w:szCs w:val="24"/>
                <w14:ligatures w14:val="standardContextual"/>
              </w:rPr>
              <w:tab/>
            </w:r>
            <w:r w:rsidRPr="004F5D2A">
              <w:rPr>
                <w:rStyle w:val="Hyperkobling"/>
              </w:rPr>
              <w:t>Virkning på ulykkene: Strekningsløsninger (kapittel 3 i V122)</w:t>
            </w:r>
            <w:r>
              <w:rPr>
                <w:webHidden/>
              </w:rPr>
              <w:tab/>
            </w:r>
            <w:r>
              <w:rPr>
                <w:webHidden/>
              </w:rPr>
              <w:fldChar w:fldCharType="begin"/>
            </w:r>
            <w:r>
              <w:rPr>
                <w:webHidden/>
              </w:rPr>
              <w:instrText xml:space="preserve"> PAGEREF _Toc206753738 \h </w:instrText>
            </w:r>
            <w:r>
              <w:rPr>
                <w:webHidden/>
              </w:rPr>
            </w:r>
            <w:r>
              <w:rPr>
                <w:webHidden/>
              </w:rPr>
              <w:fldChar w:fldCharType="separate"/>
            </w:r>
            <w:r>
              <w:rPr>
                <w:webHidden/>
              </w:rPr>
              <w:t>3</w:t>
            </w:r>
            <w:r>
              <w:rPr>
                <w:webHidden/>
              </w:rPr>
              <w:fldChar w:fldCharType="end"/>
            </w:r>
          </w:hyperlink>
        </w:p>
        <w:p w14:paraId="42BA2CD4" w14:textId="4E8B4F95" w:rsidR="0055128F" w:rsidRDefault="0055128F">
          <w:pPr>
            <w:pStyle w:val="INNH2"/>
            <w:rPr>
              <w:rFonts w:asciiTheme="minorHAnsi" w:eastAsiaTheme="minorEastAsia" w:hAnsiTheme="minorHAnsi"/>
              <w:kern w:val="2"/>
              <w:sz w:val="24"/>
              <w:szCs w:val="24"/>
              <w14:ligatures w14:val="standardContextual"/>
            </w:rPr>
          </w:pPr>
          <w:hyperlink w:anchor="_Toc206753739" w:history="1">
            <w:r w:rsidRPr="004F5D2A">
              <w:rPr>
                <w:rStyle w:val="Hyperkobling"/>
              </w:rPr>
              <w:t>3.1</w:t>
            </w:r>
            <w:r>
              <w:rPr>
                <w:rFonts w:asciiTheme="minorHAnsi" w:eastAsiaTheme="minorEastAsia" w:hAnsiTheme="minorHAnsi"/>
                <w:kern w:val="2"/>
                <w:sz w:val="24"/>
                <w:szCs w:val="24"/>
                <w14:ligatures w14:val="standardContextual"/>
              </w:rPr>
              <w:tab/>
            </w:r>
            <w:r w:rsidRPr="004F5D2A">
              <w:rPr>
                <w:rStyle w:val="Hyperkobling"/>
              </w:rPr>
              <w:t>Blandet trafikk (avsnitt 3.2 i V122)</w:t>
            </w:r>
            <w:r>
              <w:rPr>
                <w:webHidden/>
              </w:rPr>
              <w:tab/>
            </w:r>
            <w:r>
              <w:rPr>
                <w:webHidden/>
              </w:rPr>
              <w:fldChar w:fldCharType="begin"/>
            </w:r>
            <w:r>
              <w:rPr>
                <w:webHidden/>
              </w:rPr>
              <w:instrText xml:space="preserve"> PAGEREF _Toc206753739 \h </w:instrText>
            </w:r>
            <w:r>
              <w:rPr>
                <w:webHidden/>
              </w:rPr>
            </w:r>
            <w:r>
              <w:rPr>
                <w:webHidden/>
              </w:rPr>
              <w:fldChar w:fldCharType="separate"/>
            </w:r>
            <w:r>
              <w:rPr>
                <w:webHidden/>
              </w:rPr>
              <w:t>3</w:t>
            </w:r>
            <w:r>
              <w:rPr>
                <w:webHidden/>
              </w:rPr>
              <w:fldChar w:fldCharType="end"/>
            </w:r>
          </w:hyperlink>
        </w:p>
        <w:p w14:paraId="7B56A424" w14:textId="2472863E" w:rsidR="0055128F" w:rsidRDefault="0055128F">
          <w:pPr>
            <w:pStyle w:val="INNH2"/>
            <w:rPr>
              <w:rFonts w:asciiTheme="minorHAnsi" w:eastAsiaTheme="minorEastAsia" w:hAnsiTheme="minorHAnsi"/>
              <w:kern w:val="2"/>
              <w:sz w:val="24"/>
              <w:szCs w:val="24"/>
              <w14:ligatures w14:val="standardContextual"/>
            </w:rPr>
          </w:pPr>
          <w:hyperlink w:anchor="_Toc206753740" w:history="1">
            <w:r w:rsidRPr="004F5D2A">
              <w:rPr>
                <w:rStyle w:val="Hyperkobling"/>
              </w:rPr>
              <w:t>3.2</w:t>
            </w:r>
            <w:r>
              <w:rPr>
                <w:rFonts w:asciiTheme="minorHAnsi" w:eastAsiaTheme="minorEastAsia" w:hAnsiTheme="minorHAnsi"/>
                <w:kern w:val="2"/>
                <w:sz w:val="24"/>
                <w:szCs w:val="24"/>
                <w14:ligatures w14:val="standardContextual"/>
              </w:rPr>
              <w:tab/>
            </w:r>
            <w:r w:rsidRPr="004F5D2A">
              <w:rPr>
                <w:rStyle w:val="Hyperkobling"/>
              </w:rPr>
              <w:t>Sykkelfelt (avsnitt 3.3. i V122)</w:t>
            </w:r>
            <w:r>
              <w:rPr>
                <w:webHidden/>
              </w:rPr>
              <w:tab/>
            </w:r>
            <w:r>
              <w:rPr>
                <w:webHidden/>
              </w:rPr>
              <w:fldChar w:fldCharType="begin"/>
            </w:r>
            <w:r>
              <w:rPr>
                <w:webHidden/>
              </w:rPr>
              <w:instrText xml:space="preserve"> PAGEREF _Toc206753740 \h </w:instrText>
            </w:r>
            <w:r>
              <w:rPr>
                <w:webHidden/>
              </w:rPr>
            </w:r>
            <w:r>
              <w:rPr>
                <w:webHidden/>
              </w:rPr>
              <w:fldChar w:fldCharType="separate"/>
            </w:r>
            <w:r>
              <w:rPr>
                <w:webHidden/>
              </w:rPr>
              <w:t>6</w:t>
            </w:r>
            <w:r>
              <w:rPr>
                <w:webHidden/>
              </w:rPr>
              <w:fldChar w:fldCharType="end"/>
            </w:r>
          </w:hyperlink>
        </w:p>
        <w:p w14:paraId="45E40532" w14:textId="5E8E0005" w:rsidR="0055128F" w:rsidRDefault="0055128F">
          <w:pPr>
            <w:pStyle w:val="INNH2"/>
            <w:rPr>
              <w:rFonts w:asciiTheme="minorHAnsi" w:eastAsiaTheme="minorEastAsia" w:hAnsiTheme="minorHAnsi"/>
              <w:kern w:val="2"/>
              <w:sz w:val="24"/>
              <w:szCs w:val="24"/>
              <w14:ligatures w14:val="standardContextual"/>
            </w:rPr>
          </w:pPr>
          <w:hyperlink w:anchor="_Toc206753741" w:history="1">
            <w:r w:rsidRPr="004F5D2A">
              <w:rPr>
                <w:rStyle w:val="Hyperkobling"/>
              </w:rPr>
              <w:t>3.3</w:t>
            </w:r>
            <w:r>
              <w:rPr>
                <w:rFonts w:asciiTheme="minorHAnsi" w:eastAsiaTheme="minorEastAsia" w:hAnsiTheme="minorHAnsi"/>
                <w:kern w:val="2"/>
                <w:sz w:val="24"/>
                <w:szCs w:val="24"/>
                <w14:ligatures w14:val="standardContextual"/>
              </w:rPr>
              <w:tab/>
            </w:r>
            <w:r w:rsidRPr="004F5D2A">
              <w:rPr>
                <w:rStyle w:val="Hyperkobling"/>
              </w:rPr>
              <w:t>Veger for gående og syklende, generelle utformingskrav (avsnitt 3.4 i V122)</w:t>
            </w:r>
            <w:r>
              <w:rPr>
                <w:webHidden/>
              </w:rPr>
              <w:tab/>
            </w:r>
            <w:r>
              <w:rPr>
                <w:webHidden/>
              </w:rPr>
              <w:fldChar w:fldCharType="begin"/>
            </w:r>
            <w:r>
              <w:rPr>
                <w:webHidden/>
              </w:rPr>
              <w:instrText xml:space="preserve"> PAGEREF _Toc206753741 \h </w:instrText>
            </w:r>
            <w:r>
              <w:rPr>
                <w:webHidden/>
              </w:rPr>
            </w:r>
            <w:r>
              <w:rPr>
                <w:webHidden/>
              </w:rPr>
              <w:fldChar w:fldCharType="separate"/>
            </w:r>
            <w:r>
              <w:rPr>
                <w:webHidden/>
              </w:rPr>
              <w:t>8</w:t>
            </w:r>
            <w:r>
              <w:rPr>
                <w:webHidden/>
              </w:rPr>
              <w:fldChar w:fldCharType="end"/>
            </w:r>
          </w:hyperlink>
        </w:p>
        <w:p w14:paraId="57A81C6A" w14:textId="07AF2F2E" w:rsidR="0055128F" w:rsidRDefault="0055128F">
          <w:pPr>
            <w:pStyle w:val="INNH2"/>
            <w:rPr>
              <w:rFonts w:asciiTheme="minorHAnsi" w:eastAsiaTheme="minorEastAsia" w:hAnsiTheme="minorHAnsi"/>
              <w:kern w:val="2"/>
              <w:sz w:val="24"/>
              <w:szCs w:val="24"/>
              <w14:ligatures w14:val="standardContextual"/>
            </w:rPr>
          </w:pPr>
          <w:hyperlink w:anchor="_Toc206753742" w:history="1">
            <w:r w:rsidRPr="004F5D2A">
              <w:rPr>
                <w:rStyle w:val="Hyperkobling"/>
              </w:rPr>
              <w:t>3.4</w:t>
            </w:r>
            <w:r>
              <w:rPr>
                <w:rFonts w:asciiTheme="minorHAnsi" w:eastAsiaTheme="minorEastAsia" w:hAnsiTheme="minorHAnsi"/>
                <w:kern w:val="2"/>
                <w:sz w:val="24"/>
                <w:szCs w:val="24"/>
                <w14:ligatures w14:val="standardContextual"/>
              </w:rPr>
              <w:tab/>
            </w:r>
            <w:r w:rsidRPr="004F5D2A">
              <w:rPr>
                <w:rStyle w:val="Hyperkobling"/>
              </w:rPr>
              <w:t>Gang- og sykkelveg (avsnitt 3.4.1 i V122)</w:t>
            </w:r>
            <w:r>
              <w:rPr>
                <w:webHidden/>
              </w:rPr>
              <w:tab/>
            </w:r>
            <w:r>
              <w:rPr>
                <w:webHidden/>
              </w:rPr>
              <w:fldChar w:fldCharType="begin"/>
            </w:r>
            <w:r>
              <w:rPr>
                <w:webHidden/>
              </w:rPr>
              <w:instrText xml:space="preserve"> PAGEREF _Toc206753742 \h </w:instrText>
            </w:r>
            <w:r>
              <w:rPr>
                <w:webHidden/>
              </w:rPr>
            </w:r>
            <w:r>
              <w:rPr>
                <w:webHidden/>
              </w:rPr>
              <w:fldChar w:fldCharType="separate"/>
            </w:r>
            <w:r>
              <w:rPr>
                <w:webHidden/>
              </w:rPr>
              <w:t>8</w:t>
            </w:r>
            <w:r>
              <w:rPr>
                <w:webHidden/>
              </w:rPr>
              <w:fldChar w:fldCharType="end"/>
            </w:r>
          </w:hyperlink>
        </w:p>
        <w:p w14:paraId="6756F2C3" w14:textId="4A5172FA" w:rsidR="0055128F" w:rsidRDefault="0055128F">
          <w:pPr>
            <w:pStyle w:val="INNH2"/>
            <w:rPr>
              <w:rFonts w:asciiTheme="minorHAnsi" w:eastAsiaTheme="minorEastAsia" w:hAnsiTheme="minorHAnsi"/>
              <w:kern w:val="2"/>
              <w:sz w:val="24"/>
              <w:szCs w:val="24"/>
              <w14:ligatures w14:val="standardContextual"/>
            </w:rPr>
          </w:pPr>
          <w:hyperlink w:anchor="_Toc206753743" w:history="1">
            <w:r w:rsidRPr="004F5D2A">
              <w:rPr>
                <w:rStyle w:val="Hyperkobling"/>
              </w:rPr>
              <w:t>3.5</w:t>
            </w:r>
            <w:r>
              <w:rPr>
                <w:rFonts w:asciiTheme="minorHAnsi" w:eastAsiaTheme="minorEastAsia" w:hAnsiTheme="minorHAnsi"/>
                <w:kern w:val="2"/>
                <w:sz w:val="24"/>
                <w:szCs w:val="24"/>
                <w14:ligatures w14:val="standardContextual"/>
              </w:rPr>
              <w:tab/>
            </w:r>
            <w:r w:rsidRPr="004F5D2A">
              <w:rPr>
                <w:rStyle w:val="Hyperkobling"/>
              </w:rPr>
              <w:t>Sykkelveg med eller uten fortau (avsnitt 3.4.2 i V122)</w:t>
            </w:r>
            <w:r>
              <w:rPr>
                <w:webHidden/>
              </w:rPr>
              <w:tab/>
            </w:r>
            <w:r>
              <w:rPr>
                <w:webHidden/>
              </w:rPr>
              <w:fldChar w:fldCharType="begin"/>
            </w:r>
            <w:r>
              <w:rPr>
                <w:webHidden/>
              </w:rPr>
              <w:instrText xml:space="preserve"> PAGEREF _Toc206753743 \h </w:instrText>
            </w:r>
            <w:r>
              <w:rPr>
                <w:webHidden/>
              </w:rPr>
            </w:r>
            <w:r>
              <w:rPr>
                <w:webHidden/>
              </w:rPr>
              <w:fldChar w:fldCharType="separate"/>
            </w:r>
            <w:r>
              <w:rPr>
                <w:webHidden/>
              </w:rPr>
              <w:t>9</w:t>
            </w:r>
            <w:r>
              <w:rPr>
                <w:webHidden/>
              </w:rPr>
              <w:fldChar w:fldCharType="end"/>
            </w:r>
          </w:hyperlink>
        </w:p>
        <w:p w14:paraId="0DABFE08" w14:textId="7FD3BB42" w:rsidR="0055128F" w:rsidRDefault="0055128F">
          <w:pPr>
            <w:pStyle w:val="INNH2"/>
            <w:rPr>
              <w:rFonts w:asciiTheme="minorHAnsi" w:eastAsiaTheme="minorEastAsia" w:hAnsiTheme="minorHAnsi"/>
              <w:kern w:val="2"/>
              <w:sz w:val="24"/>
              <w:szCs w:val="24"/>
              <w14:ligatures w14:val="standardContextual"/>
            </w:rPr>
          </w:pPr>
          <w:hyperlink w:anchor="_Toc206753744" w:history="1">
            <w:r w:rsidRPr="004F5D2A">
              <w:rPr>
                <w:rStyle w:val="Hyperkobling"/>
              </w:rPr>
              <w:t>3.6</w:t>
            </w:r>
            <w:r>
              <w:rPr>
                <w:rFonts w:asciiTheme="minorHAnsi" w:eastAsiaTheme="minorEastAsia" w:hAnsiTheme="minorHAnsi"/>
                <w:kern w:val="2"/>
                <w:sz w:val="24"/>
                <w:szCs w:val="24"/>
                <w14:ligatures w14:val="standardContextual"/>
              </w:rPr>
              <w:tab/>
            </w:r>
            <w:r w:rsidRPr="004F5D2A">
              <w:rPr>
                <w:rStyle w:val="Hyperkobling"/>
              </w:rPr>
              <w:t>Høystandard sykkelveg (avsnitt 3.4.2 i V122)</w:t>
            </w:r>
            <w:r>
              <w:rPr>
                <w:webHidden/>
              </w:rPr>
              <w:tab/>
            </w:r>
            <w:r>
              <w:rPr>
                <w:webHidden/>
              </w:rPr>
              <w:fldChar w:fldCharType="begin"/>
            </w:r>
            <w:r>
              <w:rPr>
                <w:webHidden/>
              </w:rPr>
              <w:instrText xml:space="preserve"> PAGEREF _Toc206753744 \h </w:instrText>
            </w:r>
            <w:r>
              <w:rPr>
                <w:webHidden/>
              </w:rPr>
            </w:r>
            <w:r>
              <w:rPr>
                <w:webHidden/>
              </w:rPr>
              <w:fldChar w:fldCharType="separate"/>
            </w:r>
            <w:r>
              <w:rPr>
                <w:webHidden/>
              </w:rPr>
              <w:t>12</w:t>
            </w:r>
            <w:r>
              <w:rPr>
                <w:webHidden/>
              </w:rPr>
              <w:fldChar w:fldCharType="end"/>
            </w:r>
          </w:hyperlink>
        </w:p>
        <w:p w14:paraId="1A3D2E8F" w14:textId="0AEB4480" w:rsidR="0055128F" w:rsidRDefault="0055128F">
          <w:pPr>
            <w:pStyle w:val="INNH2"/>
            <w:rPr>
              <w:rFonts w:asciiTheme="minorHAnsi" w:eastAsiaTheme="minorEastAsia" w:hAnsiTheme="minorHAnsi"/>
              <w:kern w:val="2"/>
              <w:sz w:val="24"/>
              <w:szCs w:val="24"/>
              <w14:ligatures w14:val="standardContextual"/>
            </w:rPr>
          </w:pPr>
          <w:hyperlink w:anchor="_Toc206753745" w:history="1">
            <w:r w:rsidRPr="004F5D2A">
              <w:rPr>
                <w:rStyle w:val="Hyperkobling"/>
              </w:rPr>
              <w:t>3.7</w:t>
            </w:r>
            <w:r>
              <w:rPr>
                <w:rFonts w:asciiTheme="minorHAnsi" w:eastAsiaTheme="minorEastAsia" w:hAnsiTheme="minorHAnsi"/>
                <w:kern w:val="2"/>
                <w:sz w:val="24"/>
                <w:szCs w:val="24"/>
                <w14:ligatures w14:val="standardContextual"/>
              </w:rPr>
              <w:tab/>
            </w:r>
            <w:r w:rsidRPr="004F5D2A">
              <w:rPr>
                <w:rStyle w:val="Hyperkobling"/>
              </w:rPr>
              <w:t>Gangveg (avsnitt 3.4.3 i V122)</w:t>
            </w:r>
            <w:r>
              <w:rPr>
                <w:webHidden/>
              </w:rPr>
              <w:tab/>
            </w:r>
            <w:r>
              <w:rPr>
                <w:webHidden/>
              </w:rPr>
              <w:fldChar w:fldCharType="begin"/>
            </w:r>
            <w:r>
              <w:rPr>
                <w:webHidden/>
              </w:rPr>
              <w:instrText xml:space="preserve"> PAGEREF _Toc206753745 \h </w:instrText>
            </w:r>
            <w:r>
              <w:rPr>
                <w:webHidden/>
              </w:rPr>
            </w:r>
            <w:r>
              <w:rPr>
                <w:webHidden/>
              </w:rPr>
              <w:fldChar w:fldCharType="separate"/>
            </w:r>
            <w:r>
              <w:rPr>
                <w:webHidden/>
              </w:rPr>
              <w:t>12</w:t>
            </w:r>
            <w:r>
              <w:rPr>
                <w:webHidden/>
              </w:rPr>
              <w:fldChar w:fldCharType="end"/>
            </w:r>
          </w:hyperlink>
        </w:p>
        <w:p w14:paraId="382FD986" w14:textId="3083F038" w:rsidR="0055128F" w:rsidRDefault="0055128F">
          <w:pPr>
            <w:pStyle w:val="INNH2"/>
            <w:rPr>
              <w:rFonts w:asciiTheme="minorHAnsi" w:eastAsiaTheme="minorEastAsia" w:hAnsiTheme="minorHAnsi"/>
              <w:kern w:val="2"/>
              <w:sz w:val="24"/>
              <w:szCs w:val="24"/>
              <w14:ligatures w14:val="standardContextual"/>
            </w:rPr>
          </w:pPr>
          <w:hyperlink w:anchor="_Toc206753746" w:history="1">
            <w:r w:rsidRPr="004F5D2A">
              <w:rPr>
                <w:rStyle w:val="Hyperkobling"/>
              </w:rPr>
              <w:t>3.8</w:t>
            </w:r>
            <w:r>
              <w:rPr>
                <w:rFonts w:asciiTheme="minorHAnsi" w:eastAsiaTheme="minorEastAsia" w:hAnsiTheme="minorHAnsi"/>
                <w:kern w:val="2"/>
                <w:sz w:val="24"/>
                <w:szCs w:val="24"/>
                <w14:ligatures w14:val="standardContextual"/>
              </w:rPr>
              <w:tab/>
            </w:r>
            <w:r w:rsidRPr="004F5D2A">
              <w:rPr>
                <w:rStyle w:val="Hyperkobling"/>
              </w:rPr>
              <w:t>Andre strekningsløsninger (avsnitt 3.5 i V122)</w:t>
            </w:r>
            <w:r>
              <w:rPr>
                <w:webHidden/>
              </w:rPr>
              <w:tab/>
            </w:r>
            <w:r>
              <w:rPr>
                <w:webHidden/>
              </w:rPr>
              <w:fldChar w:fldCharType="begin"/>
            </w:r>
            <w:r>
              <w:rPr>
                <w:webHidden/>
              </w:rPr>
              <w:instrText xml:space="preserve"> PAGEREF _Toc206753746 \h </w:instrText>
            </w:r>
            <w:r>
              <w:rPr>
                <w:webHidden/>
              </w:rPr>
            </w:r>
            <w:r>
              <w:rPr>
                <w:webHidden/>
              </w:rPr>
              <w:fldChar w:fldCharType="separate"/>
            </w:r>
            <w:r>
              <w:rPr>
                <w:webHidden/>
              </w:rPr>
              <w:t>12</w:t>
            </w:r>
            <w:r>
              <w:rPr>
                <w:webHidden/>
              </w:rPr>
              <w:fldChar w:fldCharType="end"/>
            </w:r>
          </w:hyperlink>
        </w:p>
        <w:p w14:paraId="1EB8BEA7" w14:textId="2659EEAF" w:rsidR="0055128F" w:rsidRDefault="0055128F">
          <w:pPr>
            <w:pStyle w:val="INNH2"/>
            <w:rPr>
              <w:rFonts w:asciiTheme="minorHAnsi" w:eastAsiaTheme="minorEastAsia" w:hAnsiTheme="minorHAnsi"/>
              <w:kern w:val="2"/>
              <w:sz w:val="24"/>
              <w:szCs w:val="24"/>
              <w14:ligatures w14:val="standardContextual"/>
            </w:rPr>
          </w:pPr>
          <w:hyperlink w:anchor="_Toc206753747" w:history="1">
            <w:r w:rsidRPr="004F5D2A">
              <w:rPr>
                <w:rStyle w:val="Hyperkobling"/>
              </w:rPr>
              <w:t>3.9</w:t>
            </w:r>
            <w:r>
              <w:rPr>
                <w:rFonts w:asciiTheme="minorHAnsi" w:eastAsiaTheme="minorEastAsia" w:hAnsiTheme="minorHAnsi"/>
                <w:kern w:val="2"/>
                <w:sz w:val="24"/>
                <w:szCs w:val="24"/>
                <w14:ligatures w14:val="standardContextual"/>
              </w:rPr>
              <w:tab/>
            </w:r>
            <w:r w:rsidRPr="004F5D2A">
              <w:rPr>
                <w:rStyle w:val="Hyperkobling"/>
              </w:rPr>
              <w:t>Systemskifter (avsnitt 3.6 i V122)</w:t>
            </w:r>
            <w:r>
              <w:rPr>
                <w:webHidden/>
              </w:rPr>
              <w:tab/>
            </w:r>
            <w:r>
              <w:rPr>
                <w:webHidden/>
              </w:rPr>
              <w:fldChar w:fldCharType="begin"/>
            </w:r>
            <w:r>
              <w:rPr>
                <w:webHidden/>
              </w:rPr>
              <w:instrText xml:space="preserve"> PAGEREF _Toc206753747 \h </w:instrText>
            </w:r>
            <w:r>
              <w:rPr>
                <w:webHidden/>
              </w:rPr>
            </w:r>
            <w:r>
              <w:rPr>
                <w:webHidden/>
              </w:rPr>
              <w:fldChar w:fldCharType="separate"/>
            </w:r>
            <w:r>
              <w:rPr>
                <w:webHidden/>
              </w:rPr>
              <w:t>15</w:t>
            </w:r>
            <w:r>
              <w:rPr>
                <w:webHidden/>
              </w:rPr>
              <w:fldChar w:fldCharType="end"/>
            </w:r>
          </w:hyperlink>
        </w:p>
        <w:p w14:paraId="3076BF65" w14:textId="53CC6EB8" w:rsidR="0055128F" w:rsidRDefault="0055128F">
          <w:pPr>
            <w:pStyle w:val="INNH1"/>
            <w:rPr>
              <w:rFonts w:asciiTheme="minorHAnsi" w:eastAsiaTheme="minorEastAsia" w:hAnsiTheme="minorHAnsi"/>
              <w:b w:val="0"/>
              <w:kern w:val="2"/>
              <w:sz w:val="24"/>
              <w:szCs w:val="24"/>
              <w14:ligatures w14:val="standardContextual"/>
            </w:rPr>
          </w:pPr>
          <w:hyperlink w:anchor="_Toc206753748" w:history="1">
            <w:r w:rsidRPr="004F5D2A">
              <w:rPr>
                <w:rStyle w:val="Hyperkobling"/>
              </w:rPr>
              <w:t>4</w:t>
            </w:r>
            <w:r>
              <w:rPr>
                <w:rFonts w:asciiTheme="minorHAnsi" w:eastAsiaTheme="minorEastAsia" w:hAnsiTheme="minorHAnsi"/>
                <w:b w:val="0"/>
                <w:kern w:val="2"/>
                <w:sz w:val="24"/>
                <w:szCs w:val="24"/>
                <w14:ligatures w14:val="standardContextual"/>
              </w:rPr>
              <w:tab/>
            </w:r>
            <w:r w:rsidRPr="004F5D2A">
              <w:rPr>
                <w:rStyle w:val="Hyperkobling"/>
              </w:rPr>
              <w:t>Virkning på ulykkene: Kryssløsninger (kapittel 4 i V122)</w:t>
            </w:r>
            <w:r>
              <w:rPr>
                <w:webHidden/>
              </w:rPr>
              <w:tab/>
            </w:r>
            <w:r>
              <w:rPr>
                <w:webHidden/>
              </w:rPr>
              <w:fldChar w:fldCharType="begin"/>
            </w:r>
            <w:r>
              <w:rPr>
                <w:webHidden/>
              </w:rPr>
              <w:instrText xml:space="preserve"> PAGEREF _Toc206753748 \h </w:instrText>
            </w:r>
            <w:r>
              <w:rPr>
                <w:webHidden/>
              </w:rPr>
            </w:r>
            <w:r>
              <w:rPr>
                <w:webHidden/>
              </w:rPr>
              <w:fldChar w:fldCharType="separate"/>
            </w:r>
            <w:r>
              <w:rPr>
                <w:webHidden/>
              </w:rPr>
              <w:t>15</w:t>
            </w:r>
            <w:r>
              <w:rPr>
                <w:webHidden/>
              </w:rPr>
              <w:fldChar w:fldCharType="end"/>
            </w:r>
          </w:hyperlink>
        </w:p>
        <w:p w14:paraId="56995E68" w14:textId="463D06BA" w:rsidR="0055128F" w:rsidRDefault="0055128F">
          <w:pPr>
            <w:pStyle w:val="INNH2"/>
            <w:rPr>
              <w:rFonts w:asciiTheme="minorHAnsi" w:eastAsiaTheme="minorEastAsia" w:hAnsiTheme="minorHAnsi"/>
              <w:kern w:val="2"/>
              <w:sz w:val="24"/>
              <w:szCs w:val="24"/>
              <w14:ligatures w14:val="standardContextual"/>
            </w:rPr>
          </w:pPr>
          <w:hyperlink w:anchor="_Toc206753749" w:history="1">
            <w:r w:rsidRPr="004F5D2A">
              <w:rPr>
                <w:rStyle w:val="Hyperkobling"/>
              </w:rPr>
              <w:t>4.1</w:t>
            </w:r>
            <w:r>
              <w:rPr>
                <w:rFonts w:asciiTheme="minorHAnsi" w:eastAsiaTheme="minorEastAsia" w:hAnsiTheme="minorHAnsi"/>
                <w:kern w:val="2"/>
                <w:sz w:val="24"/>
                <w:szCs w:val="24"/>
                <w14:ligatures w14:val="standardContextual"/>
              </w:rPr>
              <w:tab/>
            </w:r>
            <w:r w:rsidRPr="004F5D2A">
              <w:rPr>
                <w:rStyle w:val="Hyperkobling"/>
              </w:rPr>
              <w:t>Sykkelfelt i T- og X-kryss (avsnitt 4.1 i V122)</w:t>
            </w:r>
            <w:r>
              <w:rPr>
                <w:webHidden/>
              </w:rPr>
              <w:tab/>
            </w:r>
            <w:r>
              <w:rPr>
                <w:webHidden/>
              </w:rPr>
              <w:fldChar w:fldCharType="begin"/>
            </w:r>
            <w:r>
              <w:rPr>
                <w:webHidden/>
              </w:rPr>
              <w:instrText xml:space="preserve"> PAGEREF _Toc206753749 \h </w:instrText>
            </w:r>
            <w:r>
              <w:rPr>
                <w:webHidden/>
              </w:rPr>
            </w:r>
            <w:r>
              <w:rPr>
                <w:webHidden/>
              </w:rPr>
              <w:fldChar w:fldCharType="separate"/>
            </w:r>
            <w:r>
              <w:rPr>
                <w:webHidden/>
              </w:rPr>
              <w:t>15</w:t>
            </w:r>
            <w:r>
              <w:rPr>
                <w:webHidden/>
              </w:rPr>
              <w:fldChar w:fldCharType="end"/>
            </w:r>
          </w:hyperlink>
        </w:p>
        <w:p w14:paraId="54C79804" w14:textId="2F9ED0DF" w:rsidR="0055128F" w:rsidRDefault="0055128F">
          <w:pPr>
            <w:pStyle w:val="INNH2"/>
            <w:rPr>
              <w:rFonts w:asciiTheme="minorHAnsi" w:eastAsiaTheme="minorEastAsia" w:hAnsiTheme="minorHAnsi"/>
              <w:kern w:val="2"/>
              <w:sz w:val="24"/>
              <w:szCs w:val="24"/>
              <w14:ligatures w14:val="standardContextual"/>
            </w:rPr>
          </w:pPr>
          <w:hyperlink w:anchor="_Toc206753750" w:history="1">
            <w:r w:rsidRPr="004F5D2A">
              <w:rPr>
                <w:rStyle w:val="Hyperkobling"/>
              </w:rPr>
              <w:t>4.2</w:t>
            </w:r>
            <w:r>
              <w:rPr>
                <w:rFonts w:asciiTheme="minorHAnsi" w:eastAsiaTheme="minorEastAsia" w:hAnsiTheme="minorHAnsi"/>
                <w:kern w:val="2"/>
                <w:sz w:val="24"/>
                <w:szCs w:val="24"/>
                <w14:ligatures w14:val="standardContextual"/>
              </w:rPr>
              <w:tab/>
            </w:r>
            <w:r w:rsidRPr="004F5D2A">
              <w:rPr>
                <w:rStyle w:val="Hyperkobling"/>
              </w:rPr>
              <w:t>Kryssing mellom veg og sykkelveg eller GS-veg i T- og X-kryss (avsnitt 4.2 i V122)</w:t>
            </w:r>
            <w:r>
              <w:rPr>
                <w:webHidden/>
              </w:rPr>
              <w:tab/>
            </w:r>
            <w:r>
              <w:rPr>
                <w:webHidden/>
              </w:rPr>
              <w:fldChar w:fldCharType="begin"/>
            </w:r>
            <w:r>
              <w:rPr>
                <w:webHidden/>
              </w:rPr>
              <w:instrText xml:space="preserve"> PAGEREF _Toc206753750 \h </w:instrText>
            </w:r>
            <w:r>
              <w:rPr>
                <w:webHidden/>
              </w:rPr>
            </w:r>
            <w:r>
              <w:rPr>
                <w:webHidden/>
              </w:rPr>
              <w:fldChar w:fldCharType="separate"/>
            </w:r>
            <w:r>
              <w:rPr>
                <w:webHidden/>
              </w:rPr>
              <w:t>18</w:t>
            </w:r>
            <w:r>
              <w:rPr>
                <w:webHidden/>
              </w:rPr>
              <w:fldChar w:fldCharType="end"/>
            </w:r>
          </w:hyperlink>
        </w:p>
        <w:p w14:paraId="081FC24D" w14:textId="2C2782F0" w:rsidR="0055128F" w:rsidRDefault="0055128F">
          <w:pPr>
            <w:pStyle w:val="INNH2"/>
            <w:rPr>
              <w:rFonts w:asciiTheme="minorHAnsi" w:eastAsiaTheme="minorEastAsia" w:hAnsiTheme="minorHAnsi"/>
              <w:kern w:val="2"/>
              <w:sz w:val="24"/>
              <w:szCs w:val="24"/>
              <w14:ligatures w14:val="standardContextual"/>
            </w:rPr>
          </w:pPr>
          <w:hyperlink w:anchor="_Toc206753751" w:history="1">
            <w:r w:rsidRPr="004F5D2A">
              <w:rPr>
                <w:rStyle w:val="Hyperkobling"/>
              </w:rPr>
              <w:t>4.3</w:t>
            </w:r>
            <w:r>
              <w:rPr>
                <w:rFonts w:asciiTheme="minorHAnsi" w:eastAsiaTheme="minorEastAsia" w:hAnsiTheme="minorHAnsi"/>
                <w:kern w:val="2"/>
                <w:sz w:val="24"/>
                <w:szCs w:val="24"/>
                <w14:ligatures w14:val="standardContextual"/>
              </w:rPr>
              <w:tab/>
            </w:r>
            <w:r w:rsidRPr="004F5D2A">
              <w:rPr>
                <w:rStyle w:val="Hyperkobling"/>
              </w:rPr>
              <w:t>Kryssing mellom veg og sykkelveg eller GS-veg i signalregulerte kryss (avsnitt 4.2 i V122)</w:t>
            </w:r>
            <w:r>
              <w:rPr>
                <w:webHidden/>
              </w:rPr>
              <w:tab/>
            </w:r>
            <w:r>
              <w:rPr>
                <w:webHidden/>
              </w:rPr>
              <w:fldChar w:fldCharType="begin"/>
            </w:r>
            <w:r>
              <w:rPr>
                <w:webHidden/>
              </w:rPr>
              <w:instrText xml:space="preserve"> PAGEREF _Toc206753751 \h </w:instrText>
            </w:r>
            <w:r>
              <w:rPr>
                <w:webHidden/>
              </w:rPr>
            </w:r>
            <w:r>
              <w:rPr>
                <w:webHidden/>
              </w:rPr>
              <w:fldChar w:fldCharType="separate"/>
            </w:r>
            <w:r>
              <w:rPr>
                <w:webHidden/>
              </w:rPr>
              <w:t>20</w:t>
            </w:r>
            <w:r>
              <w:rPr>
                <w:webHidden/>
              </w:rPr>
              <w:fldChar w:fldCharType="end"/>
            </w:r>
          </w:hyperlink>
        </w:p>
        <w:p w14:paraId="456DA637" w14:textId="0D25705C" w:rsidR="0055128F" w:rsidRDefault="0055128F">
          <w:pPr>
            <w:pStyle w:val="INNH2"/>
            <w:rPr>
              <w:rFonts w:asciiTheme="minorHAnsi" w:eastAsiaTheme="minorEastAsia" w:hAnsiTheme="minorHAnsi"/>
              <w:kern w:val="2"/>
              <w:sz w:val="24"/>
              <w:szCs w:val="24"/>
              <w14:ligatures w14:val="standardContextual"/>
            </w:rPr>
          </w:pPr>
          <w:hyperlink w:anchor="_Toc206753752" w:history="1">
            <w:r w:rsidRPr="004F5D2A">
              <w:rPr>
                <w:rStyle w:val="Hyperkobling"/>
              </w:rPr>
              <w:t>4.4</w:t>
            </w:r>
            <w:r>
              <w:rPr>
                <w:rFonts w:asciiTheme="minorHAnsi" w:eastAsiaTheme="minorEastAsia" w:hAnsiTheme="minorHAnsi"/>
                <w:kern w:val="2"/>
                <w:sz w:val="24"/>
                <w:szCs w:val="24"/>
                <w14:ligatures w14:val="standardContextual"/>
              </w:rPr>
              <w:tab/>
            </w:r>
            <w:r w:rsidRPr="004F5D2A">
              <w:rPr>
                <w:rStyle w:val="Hyperkobling"/>
              </w:rPr>
              <w:t>Rundkjøring (avsnitt 4.3 i V122)</w:t>
            </w:r>
            <w:r>
              <w:rPr>
                <w:webHidden/>
              </w:rPr>
              <w:tab/>
            </w:r>
            <w:r>
              <w:rPr>
                <w:webHidden/>
              </w:rPr>
              <w:fldChar w:fldCharType="begin"/>
            </w:r>
            <w:r>
              <w:rPr>
                <w:webHidden/>
              </w:rPr>
              <w:instrText xml:space="preserve"> PAGEREF _Toc206753752 \h </w:instrText>
            </w:r>
            <w:r>
              <w:rPr>
                <w:webHidden/>
              </w:rPr>
            </w:r>
            <w:r>
              <w:rPr>
                <w:webHidden/>
              </w:rPr>
              <w:fldChar w:fldCharType="separate"/>
            </w:r>
            <w:r>
              <w:rPr>
                <w:webHidden/>
              </w:rPr>
              <w:t>21</w:t>
            </w:r>
            <w:r>
              <w:rPr>
                <w:webHidden/>
              </w:rPr>
              <w:fldChar w:fldCharType="end"/>
            </w:r>
          </w:hyperlink>
        </w:p>
        <w:p w14:paraId="1A8E6632" w14:textId="67A4A3B8" w:rsidR="0055128F" w:rsidRDefault="0055128F">
          <w:pPr>
            <w:pStyle w:val="INNH2"/>
            <w:rPr>
              <w:rFonts w:asciiTheme="minorHAnsi" w:eastAsiaTheme="minorEastAsia" w:hAnsiTheme="minorHAnsi"/>
              <w:kern w:val="2"/>
              <w:sz w:val="24"/>
              <w:szCs w:val="24"/>
              <w14:ligatures w14:val="standardContextual"/>
            </w:rPr>
          </w:pPr>
          <w:hyperlink w:anchor="_Toc206753753" w:history="1">
            <w:r w:rsidRPr="004F5D2A">
              <w:rPr>
                <w:rStyle w:val="Hyperkobling"/>
              </w:rPr>
              <w:t>4.5</w:t>
            </w:r>
            <w:r>
              <w:rPr>
                <w:rFonts w:asciiTheme="minorHAnsi" w:eastAsiaTheme="minorEastAsia" w:hAnsiTheme="minorHAnsi"/>
                <w:kern w:val="2"/>
                <w:sz w:val="24"/>
                <w:szCs w:val="24"/>
                <w14:ligatures w14:val="standardContextual"/>
              </w:rPr>
              <w:tab/>
            </w:r>
            <w:r w:rsidRPr="004F5D2A">
              <w:rPr>
                <w:rStyle w:val="Hyperkobling"/>
              </w:rPr>
              <w:t>Planskilte kryss (avsnitt 4.4 i V122)</w:t>
            </w:r>
            <w:r>
              <w:rPr>
                <w:webHidden/>
              </w:rPr>
              <w:tab/>
            </w:r>
            <w:r>
              <w:rPr>
                <w:webHidden/>
              </w:rPr>
              <w:fldChar w:fldCharType="begin"/>
            </w:r>
            <w:r>
              <w:rPr>
                <w:webHidden/>
              </w:rPr>
              <w:instrText xml:space="preserve"> PAGEREF _Toc206753753 \h </w:instrText>
            </w:r>
            <w:r>
              <w:rPr>
                <w:webHidden/>
              </w:rPr>
            </w:r>
            <w:r>
              <w:rPr>
                <w:webHidden/>
              </w:rPr>
              <w:fldChar w:fldCharType="separate"/>
            </w:r>
            <w:r>
              <w:rPr>
                <w:webHidden/>
              </w:rPr>
              <w:t>21</w:t>
            </w:r>
            <w:r>
              <w:rPr>
                <w:webHidden/>
              </w:rPr>
              <w:fldChar w:fldCharType="end"/>
            </w:r>
          </w:hyperlink>
        </w:p>
        <w:p w14:paraId="63F35A50" w14:textId="05D79B74" w:rsidR="0055128F" w:rsidRDefault="0055128F">
          <w:pPr>
            <w:pStyle w:val="INNH2"/>
            <w:rPr>
              <w:rFonts w:asciiTheme="minorHAnsi" w:eastAsiaTheme="minorEastAsia" w:hAnsiTheme="minorHAnsi"/>
              <w:kern w:val="2"/>
              <w:sz w:val="24"/>
              <w:szCs w:val="24"/>
              <w14:ligatures w14:val="standardContextual"/>
            </w:rPr>
          </w:pPr>
          <w:hyperlink w:anchor="_Toc206753754" w:history="1">
            <w:r w:rsidRPr="004F5D2A">
              <w:rPr>
                <w:rStyle w:val="Hyperkobling"/>
              </w:rPr>
              <w:t>4.6</w:t>
            </w:r>
            <w:r>
              <w:rPr>
                <w:rFonts w:asciiTheme="minorHAnsi" w:eastAsiaTheme="minorEastAsia" w:hAnsiTheme="minorHAnsi"/>
                <w:kern w:val="2"/>
                <w:sz w:val="24"/>
                <w:szCs w:val="24"/>
                <w14:ligatures w14:val="standardContextual"/>
              </w:rPr>
              <w:tab/>
            </w:r>
            <w:r w:rsidRPr="004F5D2A">
              <w:rPr>
                <w:rStyle w:val="Hyperkobling"/>
              </w:rPr>
              <w:t>Kryss mellom sykkelveger eller GS-veger (avsnitt 4.5 i V122)</w:t>
            </w:r>
            <w:r>
              <w:rPr>
                <w:webHidden/>
              </w:rPr>
              <w:tab/>
            </w:r>
            <w:r>
              <w:rPr>
                <w:webHidden/>
              </w:rPr>
              <w:fldChar w:fldCharType="begin"/>
            </w:r>
            <w:r>
              <w:rPr>
                <w:webHidden/>
              </w:rPr>
              <w:instrText xml:space="preserve"> PAGEREF _Toc206753754 \h </w:instrText>
            </w:r>
            <w:r>
              <w:rPr>
                <w:webHidden/>
              </w:rPr>
            </w:r>
            <w:r>
              <w:rPr>
                <w:webHidden/>
              </w:rPr>
              <w:fldChar w:fldCharType="separate"/>
            </w:r>
            <w:r>
              <w:rPr>
                <w:webHidden/>
              </w:rPr>
              <w:t>21</w:t>
            </w:r>
            <w:r>
              <w:rPr>
                <w:webHidden/>
              </w:rPr>
              <w:fldChar w:fldCharType="end"/>
            </w:r>
          </w:hyperlink>
        </w:p>
        <w:p w14:paraId="09DC9A37" w14:textId="538922D9" w:rsidR="0055128F" w:rsidRDefault="0055128F">
          <w:pPr>
            <w:pStyle w:val="INNH2"/>
            <w:rPr>
              <w:rFonts w:asciiTheme="minorHAnsi" w:eastAsiaTheme="minorEastAsia" w:hAnsiTheme="minorHAnsi"/>
              <w:kern w:val="2"/>
              <w:sz w:val="24"/>
              <w:szCs w:val="24"/>
              <w14:ligatures w14:val="standardContextual"/>
            </w:rPr>
          </w:pPr>
          <w:hyperlink w:anchor="_Toc206753755" w:history="1">
            <w:r w:rsidRPr="004F5D2A">
              <w:rPr>
                <w:rStyle w:val="Hyperkobling"/>
              </w:rPr>
              <w:t>4.7</w:t>
            </w:r>
            <w:r>
              <w:rPr>
                <w:rFonts w:asciiTheme="minorHAnsi" w:eastAsiaTheme="minorEastAsia" w:hAnsiTheme="minorHAnsi"/>
                <w:kern w:val="2"/>
                <w:sz w:val="24"/>
                <w:szCs w:val="24"/>
                <w14:ligatures w14:val="standardContextual"/>
              </w:rPr>
              <w:tab/>
            </w:r>
            <w:r w:rsidRPr="004F5D2A">
              <w:rPr>
                <w:rStyle w:val="Hyperkobling"/>
              </w:rPr>
              <w:t>Systemskifter (avsnitt 4.6 i V122)</w:t>
            </w:r>
            <w:r>
              <w:rPr>
                <w:webHidden/>
              </w:rPr>
              <w:tab/>
            </w:r>
            <w:r>
              <w:rPr>
                <w:webHidden/>
              </w:rPr>
              <w:fldChar w:fldCharType="begin"/>
            </w:r>
            <w:r>
              <w:rPr>
                <w:webHidden/>
              </w:rPr>
              <w:instrText xml:space="preserve"> PAGEREF _Toc206753755 \h </w:instrText>
            </w:r>
            <w:r>
              <w:rPr>
                <w:webHidden/>
              </w:rPr>
            </w:r>
            <w:r>
              <w:rPr>
                <w:webHidden/>
              </w:rPr>
              <w:fldChar w:fldCharType="separate"/>
            </w:r>
            <w:r>
              <w:rPr>
                <w:webHidden/>
              </w:rPr>
              <w:t>21</w:t>
            </w:r>
            <w:r>
              <w:rPr>
                <w:webHidden/>
              </w:rPr>
              <w:fldChar w:fldCharType="end"/>
            </w:r>
          </w:hyperlink>
        </w:p>
        <w:p w14:paraId="6F14D9B7" w14:textId="69E569F2" w:rsidR="0055128F" w:rsidRDefault="0055128F">
          <w:pPr>
            <w:pStyle w:val="INNH2"/>
            <w:rPr>
              <w:rFonts w:asciiTheme="minorHAnsi" w:eastAsiaTheme="minorEastAsia" w:hAnsiTheme="minorHAnsi"/>
              <w:kern w:val="2"/>
              <w:sz w:val="24"/>
              <w:szCs w:val="24"/>
              <w14:ligatures w14:val="standardContextual"/>
            </w:rPr>
          </w:pPr>
          <w:hyperlink w:anchor="_Toc206753756" w:history="1">
            <w:r w:rsidRPr="004F5D2A">
              <w:rPr>
                <w:rStyle w:val="Hyperkobling"/>
              </w:rPr>
              <w:t>4.8</w:t>
            </w:r>
            <w:r>
              <w:rPr>
                <w:rFonts w:asciiTheme="minorHAnsi" w:eastAsiaTheme="minorEastAsia" w:hAnsiTheme="minorHAnsi"/>
                <w:kern w:val="2"/>
                <w:sz w:val="24"/>
                <w:szCs w:val="24"/>
                <w14:ligatures w14:val="standardContextual"/>
              </w:rPr>
              <w:tab/>
            </w:r>
            <w:r w:rsidRPr="004F5D2A">
              <w:rPr>
                <w:rStyle w:val="Hyperkobling"/>
              </w:rPr>
              <w:t>Sikt (avsnitt 4.7 i V122)</w:t>
            </w:r>
            <w:r>
              <w:rPr>
                <w:webHidden/>
              </w:rPr>
              <w:tab/>
            </w:r>
            <w:r>
              <w:rPr>
                <w:webHidden/>
              </w:rPr>
              <w:fldChar w:fldCharType="begin"/>
            </w:r>
            <w:r>
              <w:rPr>
                <w:webHidden/>
              </w:rPr>
              <w:instrText xml:space="preserve"> PAGEREF _Toc206753756 \h </w:instrText>
            </w:r>
            <w:r>
              <w:rPr>
                <w:webHidden/>
              </w:rPr>
            </w:r>
            <w:r>
              <w:rPr>
                <w:webHidden/>
              </w:rPr>
              <w:fldChar w:fldCharType="separate"/>
            </w:r>
            <w:r>
              <w:rPr>
                <w:webHidden/>
              </w:rPr>
              <w:t>21</w:t>
            </w:r>
            <w:r>
              <w:rPr>
                <w:webHidden/>
              </w:rPr>
              <w:fldChar w:fldCharType="end"/>
            </w:r>
          </w:hyperlink>
        </w:p>
        <w:p w14:paraId="0DF121FE" w14:textId="25BC40B2" w:rsidR="0055128F" w:rsidRDefault="0055128F">
          <w:pPr>
            <w:pStyle w:val="INNH1"/>
            <w:rPr>
              <w:rFonts w:asciiTheme="minorHAnsi" w:eastAsiaTheme="minorEastAsia" w:hAnsiTheme="minorHAnsi"/>
              <w:b w:val="0"/>
              <w:kern w:val="2"/>
              <w:sz w:val="24"/>
              <w:szCs w:val="24"/>
              <w14:ligatures w14:val="standardContextual"/>
            </w:rPr>
          </w:pPr>
          <w:hyperlink w:anchor="_Toc206753757" w:history="1">
            <w:r w:rsidRPr="004F5D2A">
              <w:rPr>
                <w:rStyle w:val="Hyperkobling"/>
              </w:rPr>
              <w:t>5</w:t>
            </w:r>
            <w:r>
              <w:rPr>
                <w:rFonts w:asciiTheme="minorHAnsi" w:eastAsiaTheme="minorEastAsia" w:hAnsiTheme="minorHAnsi"/>
                <w:b w:val="0"/>
                <w:kern w:val="2"/>
                <w:sz w:val="24"/>
                <w:szCs w:val="24"/>
                <w14:ligatures w14:val="standardContextual"/>
              </w:rPr>
              <w:tab/>
            </w:r>
            <w:r w:rsidRPr="004F5D2A">
              <w:rPr>
                <w:rStyle w:val="Hyperkobling"/>
              </w:rPr>
              <w:t>Virkning på ulykkene: Annet</w:t>
            </w:r>
            <w:r>
              <w:rPr>
                <w:webHidden/>
              </w:rPr>
              <w:tab/>
            </w:r>
            <w:r>
              <w:rPr>
                <w:webHidden/>
              </w:rPr>
              <w:fldChar w:fldCharType="begin"/>
            </w:r>
            <w:r>
              <w:rPr>
                <w:webHidden/>
              </w:rPr>
              <w:instrText xml:space="preserve"> PAGEREF _Toc206753757 \h </w:instrText>
            </w:r>
            <w:r>
              <w:rPr>
                <w:webHidden/>
              </w:rPr>
            </w:r>
            <w:r>
              <w:rPr>
                <w:webHidden/>
              </w:rPr>
              <w:fldChar w:fldCharType="separate"/>
            </w:r>
            <w:r>
              <w:rPr>
                <w:webHidden/>
              </w:rPr>
              <w:t>22</w:t>
            </w:r>
            <w:r>
              <w:rPr>
                <w:webHidden/>
              </w:rPr>
              <w:fldChar w:fldCharType="end"/>
            </w:r>
          </w:hyperlink>
        </w:p>
        <w:p w14:paraId="76B1BEF3" w14:textId="2DFBC7C0" w:rsidR="0055128F" w:rsidRDefault="0055128F">
          <w:pPr>
            <w:pStyle w:val="INNH2"/>
            <w:rPr>
              <w:rFonts w:asciiTheme="minorHAnsi" w:eastAsiaTheme="minorEastAsia" w:hAnsiTheme="minorHAnsi"/>
              <w:kern w:val="2"/>
              <w:sz w:val="24"/>
              <w:szCs w:val="24"/>
              <w14:ligatures w14:val="standardContextual"/>
            </w:rPr>
          </w:pPr>
          <w:hyperlink w:anchor="_Toc206753758" w:history="1">
            <w:r w:rsidRPr="004F5D2A">
              <w:rPr>
                <w:rStyle w:val="Hyperkobling"/>
              </w:rPr>
              <w:t>5.1</w:t>
            </w:r>
            <w:r>
              <w:rPr>
                <w:rFonts w:asciiTheme="minorHAnsi" w:eastAsiaTheme="minorEastAsia" w:hAnsiTheme="minorHAnsi"/>
                <w:kern w:val="2"/>
                <w:sz w:val="24"/>
                <w:szCs w:val="24"/>
                <w14:ligatures w14:val="standardContextual"/>
              </w:rPr>
              <w:tab/>
            </w:r>
            <w:r w:rsidRPr="004F5D2A">
              <w:rPr>
                <w:rStyle w:val="Hyperkobling"/>
              </w:rPr>
              <w:t>Farget dekke på sykkelveger og sykkelfelt</w:t>
            </w:r>
            <w:r>
              <w:rPr>
                <w:webHidden/>
              </w:rPr>
              <w:tab/>
            </w:r>
            <w:r>
              <w:rPr>
                <w:webHidden/>
              </w:rPr>
              <w:fldChar w:fldCharType="begin"/>
            </w:r>
            <w:r>
              <w:rPr>
                <w:webHidden/>
              </w:rPr>
              <w:instrText xml:space="preserve"> PAGEREF _Toc206753758 \h </w:instrText>
            </w:r>
            <w:r>
              <w:rPr>
                <w:webHidden/>
              </w:rPr>
            </w:r>
            <w:r>
              <w:rPr>
                <w:webHidden/>
              </w:rPr>
              <w:fldChar w:fldCharType="separate"/>
            </w:r>
            <w:r>
              <w:rPr>
                <w:webHidden/>
              </w:rPr>
              <w:t>22</w:t>
            </w:r>
            <w:r>
              <w:rPr>
                <w:webHidden/>
              </w:rPr>
              <w:fldChar w:fldCharType="end"/>
            </w:r>
          </w:hyperlink>
        </w:p>
        <w:p w14:paraId="1BF75A87" w14:textId="19BED3D4" w:rsidR="0055128F" w:rsidRDefault="0055128F">
          <w:pPr>
            <w:pStyle w:val="INNH2"/>
            <w:rPr>
              <w:rFonts w:asciiTheme="minorHAnsi" w:eastAsiaTheme="minorEastAsia" w:hAnsiTheme="minorHAnsi"/>
              <w:kern w:val="2"/>
              <w:sz w:val="24"/>
              <w:szCs w:val="24"/>
              <w14:ligatures w14:val="standardContextual"/>
            </w:rPr>
          </w:pPr>
          <w:hyperlink w:anchor="_Toc206753759" w:history="1">
            <w:r w:rsidRPr="004F5D2A">
              <w:rPr>
                <w:rStyle w:val="Hyperkobling"/>
              </w:rPr>
              <w:t>5.2</w:t>
            </w:r>
            <w:r>
              <w:rPr>
                <w:rFonts w:asciiTheme="minorHAnsi" w:eastAsiaTheme="minorEastAsia" w:hAnsiTheme="minorHAnsi"/>
                <w:kern w:val="2"/>
                <w:sz w:val="24"/>
                <w:szCs w:val="24"/>
                <w14:ligatures w14:val="standardContextual"/>
              </w:rPr>
              <w:tab/>
            </w:r>
            <w:r w:rsidRPr="004F5D2A">
              <w:rPr>
                <w:rStyle w:val="Hyperkobling"/>
              </w:rPr>
              <w:t>Fartsdempende tiltak</w:t>
            </w:r>
            <w:r>
              <w:rPr>
                <w:webHidden/>
              </w:rPr>
              <w:tab/>
            </w:r>
            <w:r>
              <w:rPr>
                <w:webHidden/>
              </w:rPr>
              <w:fldChar w:fldCharType="begin"/>
            </w:r>
            <w:r>
              <w:rPr>
                <w:webHidden/>
              </w:rPr>
              <w:instrText xml:space="preserve"> PAGEREF _Toc206753759 \h </w:instrText>
            </w:r>
            <w:r>
              <w:rPr>
                <w:webHidden/>
              </w:rPr>
            </w:r>
            <w:r>
              <w:rPr>
                <w:webHidden/>
              </w:rPr>
              <w:fldChar w:fldCharType="separate"/>
            </w:r>
            <w:r>
              <w:rPr>
                <w:webHidden/>
              </w:rPr>
              <w:t>23</w:t>
            </w:r>
            <w:r>
              <w:rPr>
                <w:webHidden/>
              </w:rPr>
              <w:fldChar w:fldCharType="end"/>
            </w:r>
          </w:hyperlink>
        </w:p>
        <w:p w14:paraId="7B58B665" w14:textId="199AF77C" w:rsidR="0055128F" w:rsidRDefault="0055128F">
          <w:pPr>
            <w:pStyle w:val="INNH2"/>
            <w:rPr>
              <w:rFonts w:asciiTheme="minorHAnsi" w:eastAsiaTheme="minorEastAsia" w:hAnsiTheme="minorHAnsi"/>
              <w:kern w:val="2"/>
              <w:sz w:val="24"/>
              <w:szCs w:val="24"/>
              <w14:ligatures w14:val="standardContextual"/>
            </w:rPr>
          </w:pPr>
          <w:hyperlink w:anchor="_Toc206753760" w:history="1">
            <w:r w:rsidRPr="004F5D2A">
              <w:rPr>
                <w:rStyle w:val="Hyperkobling"/>
              </w:rPr>
              <w:t>5.3</w:t>
            </w:r>
            <w:r>
              <w:rPr>
                <w:rFonts w:asciiTheme="minorHAnsi" w:eastAsiaTheme="minorEastAsia" w:hAnsiTheme="minorHAnsi"/>
                <w:kern w:val="2"/>
                <w:sz w:val="24"/>
                <w:szCs w:val="24"/>
                <w14:ligatures w14:val="standardContextual"/>
              </w:rPr>
              <w:tab/>
            </w:r>
            <w:r w:rsidRPr="004F5D2A">
              <w:rPr>
                <w:rStyle w:val="Hyperkobling"/>
              </w:rPr>
              <w:t>Sikkerhet vs. trygghet</w:t>
            </w:r>
            <w:r>
              <w:rPr>
                <w:webHidden/>
              </w:rPr>
              <w:tab/>
            </w:r>
            <w:r>
              <w:rPr>
                <w:webHidden/>
              </w:rPr>
              <w:fldChar w:fldCharType="begin"/>
            </w:r>
            <w:r>
              <w:rPr>
                <w:webHidden/>
              </w:rPr>
              <w:instrText xml:space="preserve"> PAGEREF _Toc206753760 \h </w:instrText>
            </w:r>
            <w:r>
              <w:rPr>
                <w:webHidden/>
              </w:rPr>
            </w:r>
            <w:r>
              <w:rPr>
                <w:webHidden/>
              </w:rPr>
              <w:fldChar w:fldCharType="separate"/>
            </w:r>
            <w:r>
              <w:rPr>
                <w:webHidden/>
              </w:rPr>
              <w:t>23</w:t>
            </w:r>
            <w:r>
              <w:rPr>
                <w:webHidden/>
              </w:rPr>
              <w:fldChar w:fldCharType="end"/>
            </w:r>
          </w:hyperlink>
        </w:p>
        <w:p w14:paraId="155A3A3A" w14:textId="6554C770" w:rsidR="0055128F" w:rsidRDefault="0055128F">
          <w:pPr>
            <w:pStyle w:val="INNH1"/>
            <w:rPr>
              <w:rFonts w:asciiTheme="minorHAnsi" w:eastAsiaTheme="minorEastAsia" w:hAnsiTheme="minorHAnsi"/>
              <w:b w:val="0"/>
              <w:kern w:val="2"/>
              <w:sz w:val="24"/>
              <w:szCs w:val="24"/>
              <w14:ligatures w14:val="standardContextual"/>
            </w:rPr>
          </w:pPr>
          <w:hyperlink w:anchor="_Toc206753761" w:history="1">
            <w:r w:rsidRPr="004F5D2A">
              <w:rPr>
                <w:rStyle w:val="Hyperkobling"/>
              </w:rPr>
              <w:t>6</w:t>
            </w:r>
            <w:r>
              <w:rPr>
                <w:rFonts w:asciiTheme="minorHAnsi" w:eastAsiaTheme="minorEastAsia" w:hAnsiTheme="minorHAnsi"/>
                <w:b w:val="0"/>
                <w:kern w:val="2"/>
                <w:sz w:val="24"/>
                <w:szCs w:val="24"/>
                <w14:ligatures w14:val="standardContextual"/>
              </w:rPr>
              <w:tab/>
            </w:r>
            <w:r w:rsidRPr="004F5D2A">
              <w:rPr>
                <w:rStyle w:val="Hyperkobling"/>
              </w:rPr>
              <w:t>Virkning på framkommelighet</w:t>
            </w:r>
            <w:r>
              <w:rPr>
                <w:webHidden/>
              </w:rPr>
              <w:tab/>
            </w:r>
            <w:r>
              <w:rPr>
                <w:webHidden/>
              </w:rPr>
              <w:fldChar w:fldCharType="begin"/>
            </w:r>
            <w:r>
              <w:rPr>
                <w:webHidden/>
              </w:rPr>
              <w:instrText xml:space="preserve"> PAGEREF _Toc206753761 \h </w:instrText>
            </w:r>
            <w:r>
              <w:rPr>
                <w:webHidden/>
              </w:rPr>
            </w:r>
            <w:r>
              <w:rPr>
                <w:webHidden/>
              </w:rPr>
              <w:fldChar w:fldCharType="separate"/>
            </w:r>
            <w:r>
              <w:rPr>
                <w:webHidden/>
              </w:rPr>
              <w:t>23</w:t>
            </w:r>
            <w:r>
              <w:rPr>
                <w:webHidden/>
              </w:rPr>
              <w:fldChar w:fldCharType="end"/>
            </w:r>
          </w:hyperlink>
        </w:p>
        <w:p w14:paraId="41788E86" w14:textId="7C888D66" w:rsidR="0055128F" w:rsidRDefault="0055128F">
          <w:pPr>
            <w:pStyle w:val="INNH1"/>
            <w:rPr>
              <w:rFonts w:asciiTheme="minorHAnsi" w:eastAsiaTheme="minorEastAsia" w:hAnsiTheme="minorHAnsi"/>
              <w:b w:val="0"/>
              <w:kern w:val="2"/>
              <w:sz w:val="24"/>
              <w:szCs w:val="24"/>
              <w14:ligatures w14:val="standardContextual"/>
            </w:rPr>
          </w:pPr>
          <w:hyperlink w:anchor="_Toc206753762" w:history="1">
            <w:r w:rsidRPr="004F5D2A">
              <w:rPr>
                <w:rStyle w:val="Hyperkobling"/>
              </w:rPr>
              <w:t>7</w:t>
            </w:r>
            <w:r>
              <w:rPr>
                <w:rFonts w:asciiTheme="minorHAnsi" w:eastAsiaTheme="minorEastAsia" w:hAnsiTheme="minorHAnsi"/>
                <w:b w:val="0"/>
                <w:kern w:val="2"/>
                <w:sz w:val="24"/>
                <w:szCs w:val="24"/>
                <w14:ligatures w14:val="standardContextual"/>
              </w:rPr>
              <w:tab/>
            </w:r>
            <w:r w:rsidRPr="004F5D2A">
              <w:rPr>
                <w:rStyle w:val="Hyperkobling"/>
              </w:rPr>
              <w:t>Virkning på miljøforhold</w:t>
            </w:r>
            <w:r>
              <w:rPr>
                <w:webHidden/>
              </w:rPr>
              <w:tab/>
            </w:r>
            <w:r>
              <w:rPr>
                <w:webHidden/>
              </w:rPr>
              <w:fldChar w:fldCharType="begin"/>
            </w:r>
            <w:r>
              <w:rPr>
                <w:webHidden/>
              </w:rPr>
              <w:instrText xml:space="preserve"> PAGEREF _Toc206753762 \h </w:instrText>
            </w:r>
            <w:r>
              <w:rPr>
                <w:webHidden/>
              </w:rPr>
            </w:r>
            <w:r>
              <w:rPr>
                <w:webHidden/>
              </w:rPr>
              <w:fldChar w:fldCharType="separate"/>
            </w:r>
            <w:r>
              <w:rPr>
                <w:webHidden/>
              </w:rPr>
              <w:t>24</w:t>
            </w:r>
            <w:r>
              <w:rPr>
                <w:webHidden/>
              </w:rPr>
              <w:fldChar w:fldCharType="end"/>
            </w:r>
          </w:hyperlink>
        </w:p>
        <w:p w14:paraId="49008126" w14:textId="705248F8" w:rsidR="0055128F" w:rsidRDefault="0055128F">
          <w:pPr>
            <w:pStyle w:val="INNH1"/>
            <w:rPr>
              <w:rFonts w:asciiTheme="minorHAnsi" w:eastAsiaTheme="minorEastAsia" w:hAnsiTheme="minorHAnsi"/>
              <w:b w:val="0"/>
              <w:kern w:val="2"/>
              <w:sz w:val="24"/>
              <w:szCs w:val="24"/>
              <w14:ligatures w14:val="standardContextual"/>
            </w:rPr>
          </w:pPr>
          <w:hyperlink w:anchor="_Toc206753763" w:history="1">
            <w:r w:rsidRPr="004F5D2A">
              <w:rPr>
                <w:rStyle w:val="Hyperkobling"/>
              </w:rPr>
              <w:t>8</w:t>
            </w:r>
            <w:r>
              <w:rPr>
                <w:rFonts w:asciiTheme="minorHAnsi" w:eastAsiaTheme="minorEastAsia" w:hAnsiTheme="minorHAnsi"/>
                <w:b w:val="0"/>
                <w:kern w:val="2"/>
                <w:sz w:val="24"/>
                <w:szCs w:val="24"/>
                <w14:ligatures w14:val="standardContextual"/>
              </w:rPr>
              <w:tab/>
            </w:r>
            <w:r w:rsidRPr="004F5D2A">
              <w:rPr>
                <w:rStyle w:val="Hyperkobling"/>
              </w:rPr>
              <w:t>Kostnader</w:t>
            </w:r>
            <w:r>
              <w:rPr>
                <w:webHidden/>
              </w:rPr>
              <w:tab/>
            </w:r>
            <w:r>
              <w:rPr>
                <w:webHidden/>
              </w:rPr>
              <w:fldChar w:fldCharType="begin"/>
            </w:r>
            <w:r>
              <w:rPr>
                <w:webHidden/>
              </w:rPr>
              <w:instrText xml:space="preserve"> PAGEREF _Toc206753763 \h </w:instrText>
            </w:r>
            <w:r>
              <w:rPr>
                <w:webHidden/>
              </w:rPr>
            </w:r>
            <w:r>
              <w:rPr>
                <w:webHidden/>
              </w:rPr>
              <w:fldChar w:fldCharType="separate"/>
            </w:r>
            <w:r>
              <w:rPr>
                <w:webHidden/>
              </w:rPr>
              <w:t>24</w:t>
            </w:r>
            <w:r>
              <w:rPr>
                <w:webHidden/>
              </w:rPr>
              <w:fldChar w:fldCharType="end"/>
            </w:r>
          </w:hyperlink>
        </w:p>
        <w:p w14:paraId="336759CF" w14:textId="139B3E9A" w:rsidR="0055128F" w:rsidRDefault="0055128F">
          <w:pPr>
            <w:pStyle w:val="INNH1"/>
            <w:rPr>
              <w:rFonts w:asciiTheme="minorHAnsi" w:eastAsiaTheme="minorEastAsia" w:hAnsiTheme="minorHAnsi"/>
              <w:b w:val="0"/>
              <w:kern w:val="2"/>
              <w:sz w:val="24"/>
              <w:szCs w:val="24"/>
              <w14:ligatures w14:val="standardContextual"/>
            </w:rPr>
          </w:pPr>
          <w:hyperlink w:anchor="_Toc206753764" w:history="1">
            <w:r w:rsidRPr="004F5D2A">
              <w:rPr>
                <w:rStyle w:val="Hyperkobling"/>
              </w:rPr>
              <w:t>9</w:t>
            </w:r>
            <w:r>
              <w:rPr>
                <w:rFonts w:asciiTheme="minorHAnsi" w:eastAsiaTheme="minorEastAsia" w:hAnsiTheme="minorHAnsi"/>
                <w:b w:val="0"/>
                <w:kern w:val="2"/>
                <w:sz w:val="24"/>
                <w:szCs w:val="24"/>
                <w14:ligatures w14:val="standardContextual"/>
              </w:rPr>
              <w:tab/>
            </w:r>
            <w:r w:rsidRPr="004F5D2A">
              <w:rPr>
                <w:rStyle w:val="Hyperkobling"/>
              </w:rPr>
              <w:t>Nytte-kostnadsvurderinger</w:t>
            </w:r>
            <w:r>
              <w:rPr>
                <w:webHidden/>
              </w:rPr>
              <w:tab/>
            </w:r>
            <w:r>
              <w:rPr>
                <w:webHidden/>
              </w:rPr>
              <w:fldChar w:fldCharType="begin"/>
            </w:r>
            <w:r>
              <w:rPr>
                <w:webHidden/>
              </w:rPr>
              <w:instrText xml:space="preserve"> PAGEREF _Toc206753764 \h </w:instrText>
            </w:r>
            <w:r>
              <w:rPr>
                <w:webHidden/>
              </w:rPr>
            </w:r>
            <w:r>
              <w:rPr>
                <w:webHidden/>
              </w:rPr>
              <w:fldChar w:fldCharType="separate"/>
            </w:r>
            <w:r>
              <w:rPr>
                <w:webHidden/>
              </w:rPr>
              <w:t>24</w:t>
            </w:r>
            <w:r>
              <w:rPr>
                <w:webHidden/>
              </w:rPr>
              <w:fldChar w:fldCharType="end"/>
            </w:r>
          </w:hyperlink>
        </w:p>
        <w:p w14:paraId="1EED2D39" w14:textId="0BB18A01" w:rsidR="0055128F" w:rsidRDefault="0055128F">
          <w:pPr>
            <w:pStyle w:val="INNH1"/>
            <w:rPr>
              <w:rFonts w:asciiTheme="minorHAnsi" w:eastAsiaTheme="minorEastAsia" w:hAnsiTheme="minorHAnsi"/>
              <w:b w:val="0"/>
              <w:kern w:val="2"/>
              <w:sz w:val="24"/>
              <w:szCs w:val="24"/>
              <w14:ligatures w14:val="standardContextual"/>
            </w:rPr>
          </w:pPr>
          <w:hyperlink w:anchor="_Toc206753765" w:history="1">
            <w:r w:rsidRPr="004F5D2A">
              <w:rPr>
                <w:rStyle w:val="Hyperkobling"/>
              </w:rPr>
              <w:t>10</w:t>
            </w:r>
            <w:r>
              <w:rPr>
                <w:rFonts w:asciiTheme="minorHAnsi" w:eastAsiaTheme="minorEastAsia" w:hAnsiTheme="minorHAnsi"/>
                <w:b w:val="0"/>
                <w:kern w:val="2"/>
                <w:sz w:val="24"/>
                <w:szCs w:val="24"/>
                <w14:ligatures w14:val="standardContextual"/>
              </w:rPr>
              <w:tab/>
            </w:r>
            <w:r w:rsidRPr="004F5D2A">
              <w:rPr>
                <w:rStyle w:val="Hyperkobling"/>
              </w:rPr>
              <w:t>Formelt ansvar og saksgang</w:t>
            </w:r>
            <w:r>
              <w:rPr>
                <w:webHidden/>
              </w:rPr>
              <w:tab/>
            </w:r>
            <w:r>
              <w:rPr>
                <w:webHidden/>
              </w:rPr>
              <w:fldChar w:fldCharType="begin"/>
            </w:r>
            <w:r>
              <w:rPr>
                <w:webHidden/>
              </w:rPr>
              <w:instrText xml:space="preserve"> PAGEREF _Toc206753765 \h </w:instrText>
            </w:r>
            <w:r>
              <w:rPr>
                <w:webHidden/>
              </w:rPr>
            </w:r>
            <w:r>
              <w:rPr>
                <w:webHidden/>
              </w:rPr>
              <w:fldChar w:fldCharType="separate"/>
            </w:r>
            <w:r>
              <w:rPr>
                <w:webHidden/>
              </w:rPr>
              <w:t>25</w:t>
            </w:r>
            <w:r>
              <w:rPr>
                <w:webHidden/>
              </w:rPr>
              <w:fldChar w:fldCharType="end"/>
            </w:r>
          </w:hyperlink>
        </w:p>
        <w:p w14:paraId="0BECA114" w14:textId="0D0AA7A7" w:rsidR="0055128F" w:rsidRDefault="0055128F">
          <w:pPr>
            <w:pStyle w:val="INNH1"/>
            <w:rPr>
              <w:rFonts w:asciiTheme="minorHAnsi" w:eastAsiaTheme="minorEastAsia" w:hAnsiTheme="minorHAnsi"/>
              <w:b w:val="0"/>
              <w:kern w:val="2"/>
              <w:sz w:val="24"/>
              <w:szCs w:val="24"/>
              <w14:ligatures w14:val="standardContextual"/>
            </w:rPr>
          </w:pPr>
          <w:hyperlink w:anchor="_Toc206753766" w:history="1">
            <w:r w:rsidRPr="004F5D2A">
              <w:rPr>
                <w:rStyle w:val="Hyperkobling"/>
                <w:lang w:val="de-DE"/>
              </w:rPr>
              <w:t>11</w:t>
            </w:r>
            <w:r>
              <w:rPr>
                <w:rFonts w:asciiTheme="minorHAnsi" w:eastAsiaTheme="minorEastAsia" w:hAnsiTheme="minorHAnsi"/>
                <w:b w:val="0"/>
                <w:kern w:val="2"/>
                <w:sz w:val="24"/>
                <w:szCs w:val="24"/>
                <w14:ligatures w14:val="standardContextual"/>
              </w:rPr>
              <w:tab/>
            </w:r>
            <w:r w:rsidRPr="004F5D2A">
              <w:rPr>
                <w:rStyle w:val="Hyperkobling"/>
                <w:lang w:val="de-DE"/>
              </w:rPr>
              <w:t>Referanser</w:t>
            </w:r>
            <w:r>
              <w:rPr>
                <w:webHidden/>
              </w:rPr>
              <w:tab/>
            </w:r>
            <w:r>
              <w:rPr>
                <w:webHidden/>
              </w:rPr>
              <w:fldChar w:fldCharType="begin"/>
            </w:r>
            <w:r>
              <w:rPr>
                <w:webHidden/>
              </w:rPr>
              <w:instrText xml:space="preserve"> PAGEREF _Toc206753766 \h </w:instrText>
            </w:r>
            <w:r>
              <w:rPr>
                <w:webHidden/>
              </w:rPr>
            </w:r>
            <w:r>
              <w:rPr>
                <w:webHidden/>
              </w:rPr>
              <w:fldChar w:fldCharType="separate"/>
            </w:r>
            <w:r>
              <w:rPr>
                <w:webHidden/>
              </w:rPr>
              <w:t>25</w:t>
            </w:r>
            <w:r>
              <w:rPr>
                <w:webHidden/>
              </w:rPr>
              <w:fldChar w:fldCharType="end"/>
            </w:r>
          </w:hyperlink>
        </w:p>
        <w:p w14:paraId="0FEC26AE" w14:textId="4702177B" w:rsidR="0055128F" w:rsidRDefault="0055128F">
          <w:pPr>
            <w:pStyle w:val="INNH2"/>
            <w:rPr>
              <w:rFonts w:asciiTheme="minorHAnsi" w:eastAsiaTheme="minorEastAsia" w:hAnsiTheme="minorHAnsi"/>
              <w:kern w:val="2"/>
              <w:sz w:val="24"/>
              <w:szCs w:val="24"/>
              <w14:ligatures w14:val="standardContextual"/>
            </w:rPr>
          </w:pPr>
          <w:hyperlink w:anchor="_Toc206753767" w:history="1">
            <w:r w:rsidRPr="004F5D2A">
              <w:rPr>
                <w:rStyle w:val="Hyperkobling"/>
                <w:lang w:val="de-DE"/>
              </w:rPr>
              <w:t>11.1</w:t>
            </w:r>
            <w:r>
              <w:rPr>
                <w:rFonts w:asciiTheme="minorHAnsi" w:eastAsiaTheme="minorEastAsia" w:hAnsiTheme="minorHAnsi"/>
                <w:kern w:val="2"/>
                <w:sz w:val="24"/>
                <w:szCs w:val="24"/>
                <w14:ligatures w14:val="standardContextual"/>
              </w:rPr>
              <w:tab/>
            </w:r>
            <w:r w:rsidRPr="004F5D2A">
              <w:rPr>
                <w:rStyle w:val="Hyperkobling"/>
                <w:lang w:val="de-DE"/>
              </w:rPr>
              <w:t>Referanser 2017</w:t>
            </w:r>
            <w:r>
              <w:rPr>
                <w:webHidden/>
              </w:rPr>
              <w:tab/>
            </w:r>
            <w:r>
              <w:rPr>
                <w:webHidden/>
              </w:rPr>
              <w:fldChar w:fldCharType="begin"/>
            </w:r>
            <w:r>
              <w:rPr>
                <w:webHidden/>
              </w:rPr>
              <w:instrText xml:space="preserve"> PAGEREF _Toc206753767 \h </w:instrText>
            </w:r>
            <w:r>
              <w:rPr>
                <w:webHidden/>
              </w:rPr>
            </w:r>
            <w:r>
              <w:rPr>
                <w:webHidden/>
              </w:rPr>
              <w:fldChar w:fldCharType="separate"/>
            </w:r>
            <w:r>
              <w:rPr>
                <w:webHidden/>
              </w:rPr>
              <w:t>32</w:t>
            </w:r>
            <w:r>
              <w:rPr>
                <w:webHidden/>
              </w:rPr>
              <w:fldChar w:fldCharType="end"/>
            </w:r>
          </w:hyperlink>
        </w:p>
        <w:p w14:paraId="71948D57" w14:textId="0FE6D0AE" w:rsidR="0055128F" w:rsidRDefault="0055128F">
          <w:pPr>
            <w:pStyle w:val="INNH1"/>
            <w:rPr>
              <w:rFonts w:asciiTheme="minorHAnsi" w:eastAsiaTheme="minorEastAsia" w:hAnsiTheme="minorHAnsi"/>
              <w:b w:val="0"/>
              <w:kern w:val="2"/>
              <w:sz w:val="24"/>
              <w:szCs w:val="24"/>
              <w14:ligatures w14:val="standardContextual"/>
            </w:rPr>
          </w:pPr>
          <w:hyperlink w:anchor="_Toc206753768" w:history="1">
            <w:r w:rsidRPr="004F5D2A">
              <w:rPr>
                <w:rStyle w:val="Hyperkobling"/>
                <w:lang w:val="en-US"/>
              </w:rPr>
              <w:t>12</w:t>
            </w:r>
            <w:r>
              <w:rPr>
                <w:rFonts w:asciiTheme="minorHAnsi" w:eastAsiaTheme="minorEastAsia" w:hAnsiTheme="minorHAnsi"/>
                <w:b w:val="0"/>
                <w:kern w:val="2"/>
                <w:sz w:val="24"/>
                <w:szCs w:val="24"/>
                <w14:ligatures w14:val="standardContextual"/>
              </w:rPr>
              <w:tab/>
            </w:r>
            <w:r w:rsidRPr="004F5D2A">
              <w:rPr>
                <w:rStyle w:val="Hyperkobling"/>
                <w:lang w:val="en-US"/>
              </w:rPr>
              <w:t>Oversikter over enkelte studier</w:t>
            </w:r>
            <w:r>
              <w:rPr>
                <w:webHidden/>
              </w:rPr>
              <w:tab/>
            </w:r>
            <w:r>
              <w:rPr>
                <w:webHidden/>
              </w:rPr>
              <w:fldChar w:fldCharType="begin"/>
            </w:r>
            <w:r>
              <w:rPr>
                <w:webHidden/>
              </w:rPr>
              <w:instrText xml:space="preserve"> PAGEREF _Toc206753768 \h </w:instrText>
            </w:r>
            <w:r>
              <w:rPr>
                <w:webHidden/>
              </w:rPr>
            </w:r>
            <w:r>
              <w:rPr>
                <w:webHidden/>
              </w:rPr>
              <w:fldChar w:fldCharType="separate"/>
            </w:r>
            <w:r>
              <w:rPr>
                <w:webHidden/>
              </w:rPr>
              <w:t>35</w:t>
            </w:r>
            <w:r>
              <w:rPr>
                <w:webHidden/>
              </w:rPr>
              <w:fldChar w:fldCharType="end"/>
            </w:r>
          </w:hyperlink>
        </w:p>
        <w:p w14:paraId="6AFF4248" w14:textId="5010D116" w:rsidR="0055128F" w:rsidRDefault="0055128F">
          <w:pPr>
            <w:pStyle w:val="INNH2"/>
            <w:rPr>
              <w:rFonts w:asciiTheme="minorHAnsi" w:eastAsiaTheme="minorEastAsia" w:hAnsiTheme="minorHAnsi"/>
              <w:kern w:val="2"/>
              <w:sz w:val="24"/>
              <w:szCs w:val="24"/>
              <w14:ligatures w14:val="standardContextual"/>
            </w:rPr>
          </w:pPr>
          <w:hyperlink w:anchor="_Toc206753769" w:history="1">
            <w:r w:rsidRPr="004F5D2A">
              <w:rPr>
                <w:rStyle w:val="Hyperkobling"/>
              </w:rPr>
              <w:t>12.1</w:t>
            </w:r>
            <w:r>
              <w:rPr>
                <w:rFonts w:asciiTheme="minorHAnsi" w:eastAsiaTheme="minorEastAsia" w:hAnsiTheme="minorHAnsi"/>
                <w:kern w:val="2"/>
                <w:sz w:val="24"/>
                <w:szCs w:val="24"/>
                <w14:ligatures w14:val="standardContextual"/>
              </w:rPr>
              <w:tab/>
            </w:r>
            <w:r w:rsidRPr="004F5D2A">
              <w:rPr>
                <w:rStyle w:val="Hyperkobling"/>
              </w:rPr>
              <w:t>Fart og fartsgrenser</w:t>
            </w:r>
            <w:r>
              <w:rPr>
                <w:webHidden/>
              </w:rPr>
              <w:tab/>
            </w:r>
            <w:r>
              <w:rPr>
                <w:webHidden/>
              </w:rPr>
              <w:fldChar w:fldCharType="begin"/>
            </w:r>
            <w:r>
              <w:rPr>
                <w:webHidden/>
              </w:rPr>
              <w:instrText xml:space="preserve"> PAGEREF _Toc206753769 \h </w:instrText>
            </w:r>
            <w:r>
              <w:rPr>
                <w:webHidden/>
              </w:rPr>
            </w:r>
            <w:r>
              <w:rPr>
                <w:webHidden/>
              </w:rPr>
              <w:fldChar w:fldCharType="separate"/>
            </w:r>
            <w:r>
              <w:rPr>
                <w:webHidden/>
              </w:rPr>
              <w:t>35</w:t>
            </w:r>
            <w:r>
              <w:rPr>
                <w:webHidden/>
              </w:rPr>
              <w:fldChar w:fldCharType="end"/>
            </w:r>
          </w:hyperlink>
        </w:p>
        <w:p w14:paraId="5D9EB1C6" w14:textId="0FB25CE5" w:rsidR="0055128F" w:rsidRDefault="0055128F">
          <w:pPr>
            <w:pStyle w:val="INNH2"/>
            <w:rPr>
              <w:rFonts w:asciiTheme="minorHAnsi" w:eastAsiaTheme="minorEastAsia" w:hAnsiTheme="minorHAnsi"/>
              <w:kern w:val="2"/>
              <w:sz w:val="24"/>
              <w:szCs w:val="24"/>
              <w14:ligatures w14:val="standardContextual"/>
            </w:rPr>
          </w:pPr>
          <w:hyperlink w:anchor="_Toc206753770" w:history="1">
            <w:r w:rsidRPr="004F5D2A">
              <w:rPr>
                <w:rStyle w:val="Hyperkobling"/>
              </w:rPr>
              <w:t>12.2</w:t>
            </w:r>
            <w:r>
              <w:rPr>
                <w:rFonts w:asciiTheme="minorHAnsi" w:eastAsiaTheme="minorEastAsia" w:hAnsiTheme="minorHAnsi"/>
                <w:kern w:val="2"/>
                <w:sz w:val="24"/>
                <w:szCs w:val="24"/>
                <w14:ligatures w14:val="standardContextual"/>
              </w:rPr>
              <w:tab/>
            </w:r>
            <w:r w:rsidRPr="004F5D2A">
              <w:rPr>
                <w:rStyle w:val="Hyperkobling"/>
              </w:rPr>
              <w:t>Dobbeltrettet vs. enveisregulert sykkelveg</w:t>
            </w:r>
            <w:r>
              <w:rPr>
                <w:webHidden/>
              </w:rPr>
              <w:tab/>
            </w:r>
            <w:r>
              <w:rPr>
                <w:webHidden/>
              </w:rPr>
              <w:fldChar w:fldCharType="begin"/>
            </w:r>
            <w:r>
              <w:rPr>
                <w:webHidden/>
              </w:rPr>
              <w:instrText xml:space="preserve"> PAGEREF _Toc206753770 \h </w:instrText>
            </w:r>
            <w:r>
              <w:rPr>
                <w:webHidden/>
              </w:rPr>
            </w:r>
            <w:r>
              <w:rPr>
                <w:webHidden/>
              </w:rPr>
              <w:fldChar w:fldCharType="separate"/>
            </w:r>
            <w:r>
              <w:rPr>
                <w:webHidden/>
              </w:rPr>
              <w:t>35</w:t>
            </w:r>
            <w:r>
              <w:rPr>
                <w:webHidden/>
              </w:rPr>
              <w:fldChar w:fldCharType="end"/>
            </w:r>
          </w:hyperlink>
        </w:p>
        <w:p w14:paraId="2C16EF3E" w14:textId="1A9B23DD" w:rsidR="0055128F" w:rsidRDefault="0055128F">
          <w:pPr>
            <w:pStyle w:val="INNH2"/>
            <w:rPr>
              <w:rFonts w:asciiTheme="minorHAnsi" w:eastAsiaTheme="minorEastAsia" w:hAnsiTheme="minorHAnsi"/>
              <w:kern w:val="2"/>
              <w:sz w:val="24"/>
              <w:szCs w:val="24"/>
              <w14:ligatures w14:val="standardContextual"/>
            </w:rPr>
          </w:pPr>
          <w:hyperlink w:anchor="_Toc206753771" w:history="1">
            <w:r w:rsidRPr="004F5D2A">
              <w:rPr>
                <w:rStyle w:val="Hyperkobling"/>
              </w:rPr>
              <w:t>12.3</w:t>
            </w:r>
            <w:r>
              <w:rPr>
                <w:rFonts w:asciiTheme="minorHAnsi" w:eastAsiaTheme="minorEastAsia" w:hAnsiTheme="minorHAnsi"/>
                <w:kern w:val="2"/>
                <w:sz w:val="24"/>
                <w:szCs w:val="24"/>
                <w14:ligatures w14:val="standardContextual"/>
              </w:rPr>
              <w:tab/>
            </w:r>
            <w:r w:rsidRPr="004F5D2A">
              <w:rPr>
                <w:rStyle w:val="Hyperkobling"/>
              </w:rPr>
              <w:t>Sikt (avsnitt 4.7 i V122)</w:t>
            </w:r>
            <w:r>
              <w:rPr>
                <w:webHidden/>
              </w:rPr>
              <w:tab/>
            </w:r>
            <w:r>
              <w:rPr>
                <w:webHidden/>
              </w:rPr>
              <w:fldChar w:fldCharType="begin"/>
            </w:r>
            <w:r>
              <w:rPr>
                <w:webHidden/>
              </w:rPr>
              <w:instrText xml:space="preserve"> PAGEREF _Toc206753771 \h </w:instrText>
            </w:r>
            <w:r>
              <w:rPr>
                <w:webHidden/>
              </w:rPr>
            </w:r>
            <w:r>
              <w:rPr>
                <w:webHidden/>
              </w:rPr>
              <w:fldChar w:fldCharType="separate"/>
            </w:r>
            <w:r>
              <w:rPr>
                <w:webHidden/>
              </w:rPr>
              <w:t>36</w:t>
            </w:r>
            <w:r>
              <w:rPr>
                <w:webHidden/>
              </w:rPr>
              <w:fldChar w:fldCharType="end"/>
            </w:r>
          </w:hyperlink>
        </w:p>
        <w:p w14:paraId="034BE20C" w14:textId="06E4F019" w:rsidR="00190818" w:rsidRDefault="00B15395" w:rsidP="00190818">
          <w:r>
            <w:rPr>
              <w:b/>
              <w:noProof/>
            </w:rPr>
            <w:fldChar w:fldCharType="end"/>
          </w:r>
        </w:p>
      </w:sdtContent>
    </w:sdt>
    <w:p w14:paraId="51EFEA73" w14:textId="77777777" w:rsidR="00A338C8" w:rsidRDefault="00A338C8" w:rsidP="00A338C8">
      <w:bookmarkStart w:id="8" w:name="_Toc517165528"/>
      <w:bookmarkStart w:id="9" w:name="_Hlk102562085"/>
    </w:p>
    <w:p w14:paraId="7C021717" w14:textId="77777777" w:rsidR="00A338C8" w:rsidRDefault="00A338C8" w:rsidP="00A338C8">
      <w:pPr>
        <w:spacing w:before="0" w:after="0" w:line="256" w:lineRule="auto"/>
        <w:sectPr w:rsidR="00A338C8" w:rsidSect="00C16691">
          <w:headerReference w:type="even" r:id="rId17"/>
          <w:headerReference w:type="default" r:id="rId18"/>
          <w:footerReference w:type="default" r:id="rId19"/>
          <w:pgSz w:w="11906" w:h="16838" w:code="9"/>
          <w:pgMar w:top="1701" w:right="1274" w:bottom="1418" w:left="1418" w:header="851" w:footer="851" w:gutter="0"/>
          <w:cols w:space="708"/>
        </w:sectPr>
      </w:pPr>
    </w:p>
    <w:bookmarkEnd w:id="8"/>
    <w:bookmarkEnd w:id="9"/>
    <w:p w14:paraId="7A9D861E" w14:textId="538CDB9A" w:rsidR="00BE30CB" w:rsidRDefault="00BE30CB" w:rsidP="00BE30CB">
      <w:r w:rsidRPr="005C75CE">
        <w:lastRenderedPageBreak/>
        <w:t xml:space="preserve">Kapitlet er </w:t>
      </w:r>
      <w:r>
        <w:t xml:space="preserve">revidert </w:t>
      </w:r>
      <w:r w:rsidRPr="005C75CE">
        <w:t>i 20</w:t>
      </w:r>
      <w:r w:rsidR="00E11A4C">
        <w:t>25</w:t>
      </w:r>
      <w:r w:rsidRPr="005C75CE">
        <w:t xml:space="preserve"> av Alena Katharina Høye (TØI)</w:t>
      </w:r>
    </w:p>
    <w:p w14:paraId="2DD89D82" w14:textId="77777777" w:rsidR="00B011AD" w:rsidRDefault="00B011AD" w:rsidP="00B011AD">
      <w:pPr>
        <w:rPr>
          <w:b/>
          <w:bCs/>
        </w:rPr>
      </w:pPr>
      <w:bookmarkStart w:id="10" w:name="_Toc196889633"/>
      <w:r w:rsidRPr="00E11A4C">
        <w:rPr>
          <w:b/>
          <w:bCs/>
        </w:rPr>
        <w:t>Infrastrukturløsninger for syklister på strekninger og i kryss skal gjøre det sikrere, tryggere og mer effektivt å sykle.</w:t>
      </w:r>
    </w:p>
    <w:p w14:paraId="6A1F5359" w14:textId="7004B3B7" w:rsidR="00B011AD" w:rsidRPr="001D2CD4" w:rsidRDefault="00B011AD" w:rsidP="00B011AD">
      <w:pPr>
        <w:rPr>
          <w:b/>
          <w:bCs/>
        </w:rPr>
      </w:pPr>
      <w:r w:rsidRPr="001D2CD4">
        <w:rPr>
          <w:b/>
          <w:bCs/>
        </w:rPr>
        <w:t xml:space="preserve">Sammenlignet med blandet trafikk, har både sykkelfelt og sykkelveger som regel lavere risiko for syklister, især på strekninger. I kryss kan sykkelveg og GS-veg (begge med trafikk i begge retninger) derimot ha høyere risiko. GS-veger </w:t>
      </w:r>
      <w:r w:rsidR="00DB62D5" w:rsidRPr="001D2CD4">
        <w:rPr>
          <w:b/>
          <w:bCs/>
        </w:rPr>
        <w:t>på strekninger er vanskelige å sammenligne med blandet trafikk</w:t>
      </w:r>
      <w:r w:rsidRPr="001D2CD4">
        <w:rPr>
          <w:b/>
          <w:bCs/>
        </w:rPr>
        <w:t xml:space="preserve">. </w:t>
      </w:r>
    </w:p>
    <w:p w14:paraId="3B41CEDB" w14:textId="79F3FF0E" w:rsidR="00B011AD" w:rsidRDefault="00B011AD" w:rsidP="00B011AD">
      <w:pPr>
        <w:rPr>
          <w:b/>
          <w:bCs/>
        </w:rPr>
      </w:pPr>
      <w:r w:rsidRPr="001D2CD4">
        <w:rPr>
          <w:b/>
          <w:bCs/>
        </w:rPr>
        <w:t>Sykkelfelt og enveisregulert sykkelveg reduserer risikoen både på strekninger og i kryss. Dette</w:t>
      </w:r>
      <w:r>
        <w:rPr>
          <w:b/>
          <w:bCs/>
        </w:rPr>
        <w:t xml:space="preserve"> gjelder under ellers like forhold. På veger med lav fartsgrense </w:t>
      </w:r>
      <w:r w:rsidR="00BA0F22">
        <w:rPr>
          <w:b/>
          <w:bCs/>
        </w:rPr>
        <w:t xml:space="preserve">(f.eks. 30 eller 40 km/t) </w:t>
      </w:r>
      <w:r>
        <w:rPr>
          <w:b/>
          <w:bCs/>
        </w:rPr>
        <w:t xml:space="preserve">og lite trafikk, er separate sykkelløsninger ikke nødvendigvis risikoreduserende. </w:t>
      </w:r>
    </w:p>
    <w:p w14:paraId="66A98CEF" w14:textId="74E96E18" w:rsidR="00B011AD" w:rsidRDefault="00B011AD" w:rsidP="00B011AD">
      <w:pPr>
        <w:rPr>
          <w:b/>
          <w:bCs/>
        </w:rPr>
      </w:pPr>
      <w:r>
        <w:rPr>
          <w:b/>
          <w:bCs/>
        </w:rPr>
        <w:t xml:space="preserve">Hvordan sykkelveger og -felt påvirker ulykkesrisikoen for syklister avhenger i tillegg av utformingen, bl.a. kan for lite bredde eller utilstrekkelig skille fra andre trafikantgrupper eller parkerende biler medføre økt risiko. «Hull» </w:t>
      </w:r>
      <w:r w:rsidR="00A94E33">
        <w:rPr>
          <w:b/>
          <w:bCs/>
        </w:rPr>
        <w:t xml:space="preserve">(manglende lenker) </w:t>
      </w:r>
      <w:r>
        <w:rPr>
          <w:b/>
          <w:bCs/>
        </w:rPr>
        <w:t xml:space="preserve">i et nettverk av sykkelveger og -felt kan også medføre økt risiko. </w:t>
      </w:r>
    </w:p>
    <w:p w14:paraId="1190A3D0" w14:textId="35E078E1" w:rsidR="00B011AD" w:rsidRDefault="00B011AD" w:rsidP="00B011AD">
      <w:pPr>
        <w:rPr>
          <w:b/>
          <w:bCs/>
        </w:rPr>
      </w:pPr>
      <w:r>
        <w:rPr>
          <w:b/>
          <w:bCs/>
        </w:rPr>
        <w:t xml:space="preserve">I kryss har syklister på sykkelveger i Norge i utgangspunktet vikeplikt for trafikk på sideveger. </w:t>
      </w:r>
      <w:r w:rsidR="00A94E33">
        <w:rPr>
          <w:b/>
          <w:bCs/>
        </w:rPr>
        <w:t xml:space="preserve">Når </w:t>
      </w:r>
      <w:r w:rsidR="008D007E">
        <w:rPr>
          <w:b/>
          <w:bCs/>
        </w:rPr>
        <w:t xml:space="preserve">det er omvendt, dvs. når </w:t>
      </w:r>
      <w:r w:rsidR="00A94E33">
        <w:rPr>
          <w:b/>
          <w:bCs/>
        </w:rPr>
        <w:t xml:space="preserve">trafikk på </w:t>
      </w:r>
      <w:r>
        <w:rPr>
          <w:b/>
          <w:bCs/>
        </w:rPr>
        <w:t xml:space="preserve">sidevegen </w:t>
      </w:r>
      <w:r w:rsidR="00A94E33">
        <w:rPr>
          <w:b/>
          <w:bCs/>
        </w:rPr>
        <w:t xml:space="preserve">har vikeplikt </w:t>
      </w:r>
      <w:r>
        <w:rPr>
          <w:b/>
          <w:bCs/>
        </w:rPr>
        <w:t>for sykkelvegen</w:t>
      </w:r>
      <w:r w:rsidR="00A94E33">
        <w:rPr>
          <w:b/>
          <w:bCs/>
        </w:rPr>
        <w:t>,</w:t>
      </w:r>
      <w:r>
        <w:rPr>
          <w:b/>
          <w:bCs/>
        </w:rPr>
        <w:t xml:space="preserve"> medfører </w:t>
      </w:r>
      <w:r w:rsidR="00A94E33">
        <w:rPr>
          <w:b/>
          <w:bCs/>
        </w:rPr>
        <w:t xml:space="preserve">dette </w:t>
      </w:r>
      <w:r>
        <w:rPr>
          <w:b/>
          <w:bCs/>
        </w:rPr>
        <w:t xml:space="preserve">som regel økt risiko for syklister. Andre tiltak i kryss er i hovedsak fremkommelighetstiltak med meget usikre virkninger på ulykker. </w:t>
      </w:r>
    </w:p>
    <w:p w14:paraId="74E9271E" w14:textId="5A550A0C" w:rsidR="00B011AD" w:rsidRDefault="00B011AD" w:rsidP="00B011AD">
      <w:pPr>
        <w:rPr>
          <w:b/>
          <w:bCs/>
        </w:rPr>
      </w:pPr>
      <w:r w:rsidRPr="00B13ED8">
        <w:rPr>
          <w:b/>
          <w:bCs/>
        </w:rPr>
        <w:t>Generelt sett kan bedre tilrettelegging for sykling forventes å redusere risikoen for syklister, både fordi sykkelløsningene kan redusere risikoen og fordi økt sykkeltrafikk bidrar til å redusere risikoen</w:t>
      </w:r>
      <w:r w:rsidR="00A94E33">
        <w:rPr>
          <w:b/>
          <w:bCs/>
        </w:rPr>
        <w:t xml:space="preserve"> («</w:t>
      </w:r>
      <w:proofErr w:type="spellStart"/>
      <w:r w:rsidR="00A94E33">
        <w:rPr>
          <w:b/>
          <w:bCs/>
        </w:rPr>
        <w:t>Safety</w:t>
      </w:r>
      <w:proofErr w:type="spellEnd"/>
      <w:r w:rsidR="00A94E33">
        <w:rPr>
          <w:b/>
          <w:bCs/>
        </w:rPr>
        <w:t xml:space="preserve"> in </w:t>
      </w:r>
      <w:proofErr w:type="spellStart"/>
      <w:r w:rsidR="00A94E33">
        <w:rPr>
          <w:b/>
          <w:bCs/>
        </w:rPr>
        <w:t>numbers</w:t>
      </w:r>
      <w:proofErr w:type="spellEnd"/>
      <w:r w:rsidR="00A94E33">
        <w:rPr>
          <w:b/>
          <w:bCs/>
        </w:rPr>
        <w:t>»)</w:t>
      </w:r>
      <w:r w:rsidRPr="00B13ED8">
        <w:rPr>
          <w:b/>
          <w:bCs/>
        </w:rPr>
        <w:t>.</w:t>
      </w:r>
      <w:r>
        <w:rPr>
          <w:b/>
          <w:bCs/>
        </w:rPr>
        <w:t xml:space="preserve"> </w:t>
      </w:r>
    </w:p>
    <w:p w14:paraId="562F6791" w14:textId="62B988C9" w:rsidR="00B356BE" w:rsidRPr="00B13ED8" w:rsidRDefault="00B356BE" w:rsidP="00B356BE">
      <w:r>
        <w:t xml:space="preserve">Statens vegvesens sykkelveiledning (N-V122) finnes </w:t>
      </w:r>
      <w:hyperlink r:id="rId20" w:history="1">
        <w:r w:rsidRPr="00B356BE">
          <w:rPr>
            <w:rStyle w:val="Hyperkobling"/>
          </w:rPr>
          <w:t>her</w:t>
        </w:r>
      </w:hyperlink>
      <w:r>
        <w:t xml:space="preserve">. </w:t>
      </w:r>
    </w:p>
    <w:p w14:paraId="12FF3CDA" w14:textId="77777777" w:rsidR="00BE30CB" w:rsidRPr="00BE30CB" w:rsidRDefault="00BE30CB" w:rsidP="00BE30CB">
      <w:pPr>
        <w:pStyle w:val="Overskrift1"/>
        <w:ind w:left="851" w:hanging="851"/>
        <w:rPr>
          <w:rFonts w:eastAsiaTheme="minorHAnsi"/>
          <w:lang w:val="sv-SE"/>
        </w:rPr>
      </w:pPr>
      <w:bookmarkStart w:id="11" w:name="_Toc206753734"/>
      <w:r w:rsidRPr="00BE30CB">
        <w:rPr>
          <w:rFonts w:eastAsiaTheme="minorHAnsi"/>
          <w:lang w:val="sv-SE"/>
        </w:rPr>
        <w:t>Problem og formål</w:t>
      </w:r>
      <w:bookmarkEnd w:id="10"/>
      <w:bookmarkEnd w:id="11"/>
    </w:p>
    <w:p w14:paraId="58FBA1F8" w14:textId="77777777" w:rsidR="004E4D41" w:rsidRDefault="00BE30CB" w:rsidP="004E4D41">
      <w:r w:rsidRPr="00CF1CAB">
        <w:t xml:space="preserve">Dette kapitlet handler om ulike typer infrastrukturtiltak for syklister som bl.a. sykkelfelt, sykkelveg og kryssløsninger. </w:t>
      </w:r>
    </w:p>
    <w:p w14:paraId="6555FBC5" w14:textId="684492D9" w:rsidR="00553814" w:rsidRDefault="00553814" w:rsidP="00553814">
      <w:r>
        <w:t xml:space="preserve">I </w:t>
      </w:r>
      <w:hyperlink r:id="rId21" w:history="1">
        <w:r w:rsidRPr="00553814">
          <w:rPr>
            <w:rStyle w:val="Hyperkobling"/>
          </w:rPr>
          <w:t>Nasjonal transportplan</w:t>
        </w:r>
      </w:hyperlink>
      <w:r>
        <w:t xml:space="preserve"> er det et mål om å øke sykkelandelen til 20 prosent i byområdene og til 8 prosent på landsbasis, samt at 80 prosent av skolebarn som har en skolevei opp til fire kilometer, skal </w:t>
      </w:r>
      <w:r w:rsidRPr="00553814">
        <w:t>gå eller sykle til skolen</w:t>
      </w:r>
      <w:r>
        <w:t xml:space="preserve">. </w:t>
      </w:r>
    </w:p>
    <w:p w14:paraId="531FC77A" w14:textId="2480482E" w:rsidR="00BE30CB" w:rsidRPr="00CF1CAB" w:rsidRDefault="00BE30CB" w:rsidP="008D007E">
      <w:r w:rsidRPr="00CF1CAB">
        <w:t>Infrastrukturløsninger for syklister på strekninger og i kryss har som formål å gjøre det sikrere, tryggere og mer effektivt å sykle. Dette gjelder for enkelte løsninger på strekninger og i kryss</w:t>
      </w:r>
      <w:r w:rsidR="008D007E">
        <w:t xml:space="preserve">, men disse må også ses i sammenheng og i forbindelse med vegnettet for øvrig. Et sammenhengende nett av trygge løsninger for syklister skal øke </w:t>
      </w:r>
      <w:r w:rsidRPr="00CF1CAB">
        <w:t>andelen reiser som gjøres med sykkel istedenfor med andre transportmidler (især bil).</w:t>
      </w:r>
    </w:p>
    <w:p w14:paraId="05346F30" w14:textId="21CE474F" w:rsidR="00BE30CB" w:rsidRPr="00CF1CAB" w:rsidRDefault="00BE30CB" w:rsidP="004E4D41">
      <w:r w:rsidRPr="00CF1CAB">
        <w:t xml:space="preserve">Faktorer som er relatert til drift av sykkelanlegg, inkludert vinterdrift, er beskrevet i </w:t>
      </w:r>
      <w:hyperlink r:id="rId22" w:history="1">
        <w:r w:rsidRPr="004E4D41">
          <w:rPr>
            <w:rStyle w:val="Hyperkobling"/>
          </w:rPr>
          <w:t>kapittel 2.7</w:t>
        </w:r>
      </w:hyperlink>
      <w:r w:rsidRPr="00CF1CAB">
        <w:t>.</w:t>
      </w:r>
    </w:p>
    <w:p w14:paraId="18ED59AF" w14:textId="74D17665" w:rsidR="00FE069B" w:rsidRDefault="00FE069B" w:rsidP="001C408C">
      <w:pPr>
        <w:pStyle w:val="Overskrift2"/>
      </w:pPr>
      <w:bookmarkStart w:id="12" w:name="_Toc206753735"/>
      <w:r>
        <w:lastRenderedPageBreak/>
        <w:t>Sykkelulykker i Norge</w:t>
      </w:r>
      <w:bookmarkEnd w:id="12"/>
    </w:p>
    <w:p w14:paraId="18B92020" w14:textId="365EDF97" w:rsidR="00E03F33" w:rsidRDefault="00FE069B" w:rsidP="00FE069B">
      <w:r>
        <w:t>I løpet av årene 201</w:t>
      </w:r>
      <w:r w:rsidR="00E03F33">
        <w:t>7</w:t>
      </w:r>
      <w:r>
        <w:t>-202</w:t>
      </w:r>
      <w:r w:rsidR="00E03F33">
        <w:t>4</w:t>
      </w:r>
      <w:r>
        <w:t xml:space="preserve"> er i gjennomsnitt registrert </w:t>
      </w:r>
      <w:r w:rsidR="00DC65BF">
        <w:t>5,8</w:t>
      </w:r>
      <w:r>
        <w:t xml:space="preserve"> drepte, </w:t>
      </w:r>
      <w:r w:rsidR="00DC65BF">
        <w:t>67</w:t>
      </w:r>
      <w:r>
        <w:t xml:space="preserve">,5 hardt skadde og </w:t>
      </w:r>
      <w:r w:rsidR="00DC65BF">
        <w:t>293,4</w:t>
      </w:r>
      <w:r>
        <w:t xml:space="preserve"> lett skadde syklister per år</w:t>
      </w:r>
      <w:r w:rsidR="00832E17">
        <w:t xml:space="preserve"> i den offisielle ulykkesstatistikken</w:t>
      </w:r>
      <w:r>
        <w:t xml:space="preserve">. Drepte / hardt skadde (D/HS) syklister utgjør 11 prosent av alle D/HS i </w:t>
      </w:r>
      <w:r w:rsidR="00553814">
        <w:t xml:space="preserve">registrerte </w:t>
      </w:r>
      <w:r>
        <w:t>trafikkulykker, mens det totale antall skadde/drepte syklister utgjør 8 prosent av alle</w:t>
      </w:r>
      <w:r w:rsidR="00553814">
        <w:t xml:space="preserve"> registrerte</w:t>
      </w:r>
      <w:r>
        <w:t xml:space="preserve"> skadde/drepte. </w:t>
      </w:r>
      <w:r w:rsidR="00832E17">
        <w:t xml:space="preserve">I de offisielle skadetallene utgjør kollisjoner med motorkjøretøy den største andelen av sykkelulykkene. I </w:t>
      </w:r>
      <w:r w:rsidR="00DC65BF">
        <w:t xml:space="preserve">2017-2024 </w:t>
      </w:r>
      <w:r w:rsidR="00832E17">
        <w:t xml:space="preserve">var det kun </w:t>
      </w:r>
      <w:r w:rsidR="00DC65BF">
        <w:t>åtte</w:t>
      </w:r>
      <w:r w:rsidR="00832E17">
        <w:t xml:space="preserve"> prosent av de skadde syklistene i offisiell ulykkesstatistikk som ikke hadde noen motpart i ulykken, og de aller fleste hadde kollidert med motorkjøretøy.</w:t>
      </w:r>
      <w:r w:rsidR="00C812D5">
        <w:t xml:space="preserve"> </w:t>
      </w:r>
    </w:p>
    <w:p w14:paraId="0DDBFD32" w14:textId="729D2174" w:rsidR="00E03F33" w:rsidRDefault="00C812D5" w:rsidP="00FE069B">
      <w:r>
        <w:t>Analyser av data fra skadelegevakten i Oslo (</w:t>
      </w:r>
      <w:r w:rsidR="00DC65BF">
        <w:t>2019-2020</w:t>
      </w:r>
      <w:r>
        <w:t xml:space="preserve">) viser derimot at </w:t>
      </w:r>
      <w:r w:rsidR="00E03F33">
        <w:t xml:space="preserve">de aller fleste skadde syklister hadde </w:t>
      </w:r>
      <w:r w:rsidR="00DC65BF">
        <w:t xml:space="preserve">eneulykker, dvs. </w:t>
      </w:r>
      <w:r w:rsidR="00E03F33">
        <w:t>ulykker uten motpart (84 prosent ifølge Bjerkan et al., 2021)</w:t>
      </w:r>
      <w:r>
        <w:t xml:space="preserve">. </w:t>
      </w:r>
      <w:r w:rsidR="00E03F33">
        <w:t xml:space="preserve">Ifølge tall fra Statens vegvesens ulykkesanalysegruppe far 12 av 24 dødsulykker med sykkel i 2019-2023 eneulykker. </w:t>
      </w:r>
    </w:p>
    <w:p w14:paraId="6D7345DF" w14:textId="4B8D16F8" w:rsidR="00FE069B" w:rsidRDefault="00C812D5" w:rsidP="00FE069B">
      <w:r>
        <w:t>Offisielle skadetall inneholder altså både for få eneulykker og for få ulykker totalt. Lund (2019) viser med hjel</w:t>
      </w:r>
      <w:r w:rsidR="00E03F33">
        <w:t>p</w:t>
      </w:r>
      <w:r>
        <w:t xml:space="preserve"> av registerdata at kun omtrent 25 prosent av drepte eller hardt skadde syklister og 2 prosent av lett skadde syklister er registrert i offisielle skadetall.</w:t>
      </w:r>
    </w:p>
    <w:p w14:paraId="479A2C13" w14:textId="5AEACC9E" w:rsidR="00BE30CB" w:rsidRPr="004E4D41" w:rsidRDefault="00BE30CB" w:rsidP="00BE30CB">
      <w:r w:rsidRPr="00832E17">
        <w:rPr>
          <w:b/>
          <w:bCs/>
        </w:rPr>
        <w:t>Dødsulykker med sykkel i Norge</w:t>
      </w:r>
      <w:r w:rsidR="00832E17" w:rsidRPr="00832E17">
        <w:rPr>
          <w:b/>
          <w:bCs/>
        </w:rPr>
        <w:t xml:space="preserve">: </w:t>
      </w:r>
      <w:r w:rsidRPr="004E4D41">
        <w:t>En studie av dødsulykker med syklister i Norge i 2005-2010 viser at vegrelaterte feil har vært medvirkende faktor i omtrent to tredjedeler av ulykkene (Statens vegvesen, 2014). De følgende vegrelaterte faktorene har bidratt til ulykkene (i parentes vises andelen av dødsulykkene med sykkel hvor de enkelte faktorene har bidratt):</w:t>
      </w:r>
    </w:p>
    <w:p w14:paraId="0099B21E" w14:textId="77777777" w:rsidR="00BE30CB" w:rsidRPr="004E4D41" w:rsidRDefault="00BE30CB">
      <w:pPr>
        <w:numPr>
          <w:ilvl w:val="0"/>
          <w:numId w:val="9"/>
        </w:numPr>
        <w:ind w:left="714" w:hanging="357"/>
        <w:contextualSpacing/>
      </w:pPr>
      <w:r w:rsidRPr="004E4D41">
        <w:t>Utforming av avkjørsel, kryss eller annen krysning av hovedveg (36%)</w:t>
      </w:r>
    </w:p>
    <w:p w14:paraId="2352DAE1" w14:textId="77777777" w:rsidR="00BE30CB" w:rsidRPr="004E4D41" w:rsidRDefault="00BE30CB">
      <w:pPr>
        <w:numPr>
          <w:ilvl w:val="0"/>
          <w:numId w:val="9"/>
        </w:numPr>
        <w:ind w:left="714" w:hanging="357"/>
        <w:contextualSpacing/>
      </w:pPr>
      <w:r w:rsidRPr="004E4D41">
        <w:t>Sikthinder (31%)</w:t>
      </w:r>
    </w:p>
    <w:p w14:paraId="3CA3A323" w14:textId="77777777" w:rsidR="00BE30CB" w:rsidRPr="004E4D41" w:rsidRDefault="00BE30CB">
      <w:pPr>
        <w:numPr>
          <w:ilvl w:val="0"/>
          <w:numId w:val="9"/>
        </w:numPr>
        <w:ind w:left="714" w:hanging="357"/>
        <w:contextualSpacing/>
      </w:pPr>
      <w:r w:rsidRPr="004E4D41">
        <w:t>Mangelfullt tilbud for syklende (11%)</w:t>
      </w:r>
    </w:p>
    <w:p w14:paraId="6CB639EF" w14:textId="77777777" w:rsidR="00BE30CB" w:rsidRPr="004E4D41" w:rsidRDefault="00BE30CB">
      <w:pPr>
        <w:numPr>
          <w:ilvl w:val="0"/>
          <w:numId w:val="9"/>
        </w:numPr>
        <w:ind w:left="714" w:hanging="357"/>
        <w:contextualSpacing/>
      </w:pPr>
      <w:r w:rsidRPr="004E4D41">
        <w:t>Farlig sideterreng (10%)</w:t>
      </w:r>
    </w:p>
    <w:p w14:paraId="25D9819C" w14:textId="77777777" w:rsidR="00BE30CB" w:rsidRPr="004E4D41" w:rsidRDefault="00BE30CB">
      <w:pPr>
        <w:numPr>
          <w:ilvl w:val="0"/>
          <w:numId w:val="9"/>
        </w:numPr>
        <w:ind w:left="714" w:hanging="357"/>
        <w:contextualSpacing/>
      </w:pPr>
      <w:r w:rsidRPr="004E4D41">
        <w:t>Hull, ujevnheter, grus mv. i vegbanen (7%)</w:t>
      </w:r>
    </w:p>
    <w:p w14:paraId="244DF3D9" w14:textId="77777777" w:rsidR="00BE30CB" w:rsidRPr="004E4D41" w:rsidRDefault="00BE30CB">
      <w:pPr>
        <w:numPr>
          <w:ilvl w:val="0"/>
          <w:numId w:val="9"/>
        </w:numPr>
        <w:ind w:left="714" w:hanging="357"/>
        <w:contextualSpacing/>
      </w:pPr>
      <w:r w:rsidRPr="004E4D41">
        <w:t>Utforming av anlegg for sykkel på strekning (4%).</w:t>
      </w:r>
    </w:p>
    <w:p w14:paraId="33707D9C" w14:textId="0E5659EA" w:rsidR="00D6280C" w:rsidRDefault="00D6280C" w:rsidP="001C408C">
      <w:pPr>
        <w:pStyle w:val="Overskrift2"/>
      </w:pPr>
      <w:bookmarkStart w:id="13" w:name="_Toc206753736"/>
      <w:r>
        <w:t>Strekninger vs. kryss</w:t>
      </w:r>
      <w:bookmarkEnd w:id="13"/>
    </w:p>
    <w:p w14:paraId="7C8C3535" w14:textId="77777777" w:rsidR="006D26EA" w:rsidRPr="006D26EA" w:rsidRDefault="006D26EA" w:rsidP="006D26EA">
      <w:r>
        <w:t>Offisielle skadetall fra Norge (2016-2023) viser at omtrent halvparten av alle skadde/drepte syklister som er skadd/drept i kryss. Andelen av alle skadde/drepte syklister som er D/HS, er høyere på strekninger (25 prosent) enn i kryss (17 prosent) og avkjørsler (16 posent). Dette viser at sykkelul</w:t>
      </w:r>
      <w:r w:rsidRPr="006D26EA">
        <w:t xml:space="preserve">ykker i gjennomsnitt er mer alvorlige på strekninger enn i kryss. </w:t>
      </w:r>
      <w:r w:rsidR="00BE30CB" w:rsidRPr="006D26EA">
        <w:t xml:space="preserve">Forklaringen er at farten som regel er høyere på strekninger. </w:t>
      </w:r>
    </w:p>
    <w:p w14:paraId="105696D9" w14:textId="09FE0B91" w:rsidR="00B76E3A" w:rsidRDefault="00B76E3A" w:rsidP="00D6280C">
      <w:r>
        <w:t xml:space="preserve">Empiriske studier fra andre land som har sammenlignet ulykkesrisiko eller skadegrad blant syklister mellom kryss og strekninger, er: </w:t>
      </w:r>
    </w:p>
    <w:p w14:paraId="318EFF89" w14:textId="160DB001" w:rsidR="00B76E3A" w:rsidRPr="002241DF" w:rsidRDefault="00B76E3A" w:rsidP="00B76E3A">
      <w:pPr>
        <w:ind w:left="567"/>
        <w:rPr>
          <w:lang w:val="da-DK"/>
        </w:rPr>
      </w:pPr>
      <w:r w:rsidRPr="00B76E3A">
        <w:rPr>
          <w:lang w:val="da-DK"/>
        </w:rPr>
        <w:t>Teschke et al., 2012 (Canada)</w:t>
      </w:r>
      <w:r>
        <w:rPr>
          <w:lang w:val="da-DK"/>
        </w:rPr>
        <w:br/>
      </w:r>
      <w:r w:rsidRPr="00B76E3A">
        <w:rPr>
          <w:lang w:val="da-DK"/>
        </w:rPr>
        <w:t>Romanow et al., 2012 (Canada)</w:t>
      </w:r>
      <w:r>
        <w:rPr>
          <w:lang w:val="da-DK"/>
        </w:rPr>
        <w:br/>
      </w:r>
      <w:r w:rsidRPr="00B76E3A">
        <w:rPr>
          <w:lang w:val="da-DK"/>
        </w:rPr>
        <w:t>Cripton et al., 2015 (Canada)</w:t>
      </w:r>
      <w:r>
        <w:rPr>
          <w:lang w:val="da-DK"/>
        </w:rPr>
        <w:br/>
      </w:r>
      <w:r w:rsidRPr="00B76E3A">
        <w:rPr>
          <w:lang w:val="da-DK"/>
        </w:rPr>
        <w:t>Wall et al., 2016 (USA)</w:t>
      </w:r>
      <w:r>
        <w:rPr>
          <w:lang w:val="da-DK"/>
        </w:rPr>
        <w:br/>
      </w:r>
      <w:r w:rsidRPr="00B76E3A">
        <w:rPr>
          <w:lang w:val="da-DK"/>
        </w:rPr>
        <w:t>Asgarzadeh et al., 2017 (USA)</w:t>
      </w:r>
      <w:r>
        <w:rPr>
          <w:lang w:val="da-DK"/>
        </w:rPr>
        <w:br/>
      </w:r>
      <w:r w:rsidRPr="00B76E3A">
        <w:rPr>
          <w:lang w:val="da-DK"/>
        </w:rPr>
        <w:t>Morrison, 2019 (Australia)</w:t>
      </w:r>
      <w:r>
        <w:rPr>
          <w:lang w:val="da-DK"/>
        </w:rPr>
        <w:br/>
      </w:r>
      <w:r w:rsidRPr="002241DF">
        <w:rPr>
          <w:lang w:val="da-DK"/>
        </w:rPr>
        <w:t>Guirao et al., 2023 (Spania)</w:t>
      </w:r>
    </w:p>
    <w:p w14:paraId="2B3E4F82" w14:textId="07042BA9" w:rsidR="00B76E3A" w:rsidRDefault="00B76E3A" w:rsidP="00B76E3A">
      <w:r>
        <w:t>Sammenlagt viser de at risikoen for sykkelulykker er 29 prosent høyere (-29; +134) i kryss enn på strekninger og at risikoen for å bli drept eller alvorlig skadd er 59 prosent høyere</w:t>
      </w:r>
      <w:r w:rsidR="006D26EA">
        <w:t xml:space="preserve"> i kryss</w:t>
      </w:r>
      <w:r>
        <w:t xml:space="preserve"> (-45; +362). </w:t>
      </w:r>
      <w:r w:rsidR="00D6280C">
        <w:t xml:space="preserve"> </w:t>
      </w:r>
    </w:p>
    <w:p w14:paraId="1D6578D0" w14:textId="36889C20" w:rsidR="00D6280C" w:rsidRDefault="00B76E3A" w:rsidP="00B76E3A">
      <w:r>
        <w:lastRenderedPageBreak/>
        <w:t xml:space="preserve">Dette tyder på at det er især risikoen for alvorlige skader er høyere i kryss enn på strekninger. Virkningene er imidlertid meget usikre, og resultatene spriker mellom de enkelte studiene. Resultatene kan derfor ikke generaliseres. Risikoforskjellen </w:t>
      </w:r>
      <w:r w:rsidR="00955792">
        <w:t xml:space="preserve">mellom strekninger og kryss </w:t>
      </w:r>
      <w:r>
        <w:t xml:space="preserve">vil trolig avhenge av vegutformingen og hvordan det er tilrettelagt for sykling. </w:t>
      </w:r>
    </w:p>
    <w:p w14:paraId="3557DD52" w14:textId="31DA4CE5" w:rsidR="00DA6DF9" w:rsidRPr="00D6280C" w:rsidRDefault="00DA6DF9" w:rsidP="00B76E3A">
      <w:r>
        <w:t>Resultatene fra andre land er motsatt til hva analysen av norsk ulykkesstatistikk viser. Blant mulige forklaringer på de forskjellige resultatene er at studiene fra andre land har beregnet skade</w:t>
      </w:r>
      <w:r w:rsidRPr="006D26EA">
        <w:rPr>
          <w:i/>
          <w:iCs/>
        </w:rPr>
        <w:t>risiko</w:t>
      </w:r>
      <w:r>
        <w:t>, samt at de har kontrollert for en rekke andre. I tillegg er de norske resultatene basert på offisiell ulykkesstatistikk, hvor det er stor grad av underrapportering, samt at graden av underrapportering er forskjellig mellom ulike ulykkessteder og skadegrader.</w:t>
      </w:r>
    </w:p>
    <w:p w14:paraId="6B0A5A63" w14:textId="77777777" w:rsidR="00BE30CB" w:rsidRPr="00CF1CAB" w:rsidRDefault="00BE30CB" w:rsidP="00BE30CB">
      <w:pPr>
        <w:pStyle w:val="Overskrift1"/>
        <w:ind w:left="851" w:hanging="851"/>
        <w:rPr>
          <w:rFonts w:eastAsiaTheme="minorHAnsi"/>
        </w:rPr>
      </w:pPr>
      <w:bookmarkStart w:id="14" w:name="_Toc196889634"/>
      <w:bookmarkStart w:id="15" w:name="_Toc206753737"/>
      <w:r w:rsidRPr="00CF1CAB">
        <w:rPr>
          <w:rFonts w:eastAsiaTheme="minorHAnsi"/>
        </w:rPr>
        <w:t>Beskrivelse av tiltaket</w:t>
      </w:r>
      <w:bookmarkEnd w:id="14"/>
      <w:bookmarkEnd w:id="15"/>
    </w:p>
    <w:p w14:paraId="5987C80D" w14:textId="5713A88A" w:rsidR="00A756A9" w:rsidRDefault="00A756A9" w:rsidP="00A756A9">
      <w:r>
        <w:t xml:space="preserve">Tiltakene som er beskrevet er delt inn i streknings- og kryssløsninger. De enkelte tiltakene er beskrevet under virkninger på ulykker. </w:t>
      </w:r>
    </w:p>
    <w:p w14:paraId="02EC1110" w14:textId="22C1C56C" w:rsidR="00BE30CB" w:rsidRDefault="006F1161" w:rsidP="006F1161">
      <w:pPr>
        <w:pStyle w:val="Overskrift1"/>
      </w:pPr>
      <w:bookmarkStart w:id="16" w:name="_Toc206753738"/>
      <w:r>
        <w:t xml:space="preserve">Virkning på ulykkene: </w:t>
      </w:r>
      <w:r w:rsidR="00BE30CB">
        <w:t>Strekningsløsninger (kapittel 3 i V122)</w:t>
      </w:r>
      <w:bookmarkEnd w:id="16"/>
    </w:p>
    <w:p w14:paraId="4800C883" w14:textId="28CECCA6" w:rsidR="00BE30CB" w:rsidRDefault="00BE30CB" w:rsidP="006F1161">
      <w:pPr>
        <w:pStyle w:val="Overskrift2"/>
        <w:rPr>
          <w:rFonts w:eastAsiaTheme="minorHAnsi"/>
        </w:rPr>
      </w:pPr>
      <w:bookmarkStart w:id="17" w:name="_Toc206753739"/>
      <w:r>
        <w:rPr>
          <w:rFonts w:eastAsiaTheme="minorHAnsi"/>
        </w:rPr>
        <w:t>B</w:t>
      </w:r>
      <w:r w:rsidRPr="00CF1CAB">
        <w:rPr>
          <w:rFonts w:eastAsiaTheme="minorHAnsi"/>
        </w:rPr>
        <w:t>landet trafikk</w:t>
      </w:r>
      <w:r>
        <w:rPr>
          <w:rFonts w:eastAsiaTheme="minorHAnsi"/>
        </w:rPr>
        <w:t xml:space="preserve"> (avsnitt 3.2 i V122)</w:t>
      </w:r>
      <w:bookmarkEnd w:id="17"/>
    </w:p>
    <w:p w14:paraId="45AF4340" w14:textId="77777777" w:rsidR="005F1ADE" w:rsidRPr="00E066AB" w:rsidRDefault="00BE30CB" w:rsidP="00E066AB">
      <w:pPr>
        <w:shd w:val="clear" w:color="auto" w:fill="D9D9D9" w:themeFill="background1" w:themeFillShade="D9"/>
      </w:pPr>
      <w:r w:rsidRPr="00E066AB">
        <w:t>I blandet trafikk finnes det per definisjon ingen spesielle anlegg for syklende. Syklende benytter det samme kjørefeltet som motorkjøretøy eller vegskulderen</w:t>
      </w:r>
      <w:r w:rsidR="004B2E20" w:rsidRPr="00E066AB">
        <w:t>,</w:t>
      </w:r>
      <w:r w:rsidRPr="00E066AB">
        <w:t xml:space="preserve"> og </w:t>
      </w:r>
      <w:r w:rsidR="004B2E20" w:rsidRPr="00E066AB">
        <w:t xml:space="preserve">de </w:t>
      </w:r>
      <w:r w:rsidRPr="00E066AB">
        <w:t xml:space="preserve">må rette seg etter trafikkreglene for motorkjøretøy. Blandet trafikk er i Norge mest aktuell på veger med lite trafikk, små andeler tunge kjøretøy og lav fart. </w:t>
      </w:r>
    </w:p>
    <w:p w14:paraId="4F6F49C5" w14:textId="10D86764" w:rsidR="00D469CC" w:rsidRDefault="00D469CC" w:rsidP="00D469CC">
      <w:pPr>
        <w:rPr>
          <w:color w:val="0070C0"/>
        </w:rPr>
      </w:pPr>
      <w:r>
        <w:t>Sammenlignet med separate sykkelanlegg kan blandet trafikk ha både høyere og lavere risiko; dette avhenge</w:t>
      </w:r>
      <w:r w:rsidR="00F110C8">
        <w:t>r</w:t>
      </w:r>
      <w:r>
        <w:t xml:space="preserve"> både av vegutforming</w:t>
      </w:r>
      <w:r w:rsidR="003C635E">
        <w:t>, fartsgrense</w:t>
      </w:r>
      <w:r>
        <w:t xml:space="preserve"> og trafikken når det blandet trafikk, hvilken separat sykkelløsning man sammenligner med, og hvordan denne er utformet. Derfor er det ikke overraskende at resultater fra studier som har sammenlignet ulykker mellom blandet trafikk og separate sykkelløsninger, spriker </w:t>
      </w:r>
      <w:r w:rsidRPr="00D469CC">
        <w:t>(</w:t>
      </w:r>
      <w:proofErr w:type="spellStart"/>
      <w:r w:rsidRPr="00D469CC">
        <w:t>Cripton</w:t>
      </w:r>
      <w:proofErr w:type="spellEnd"/>
      <w:r w:rsidRPr="00D469CC">
        <w:t xml:space="preserve"> et al., 2015; Melhuus et al., 2015).</w:t>
      </w:r>
    </w:p>
    <w:p w14:paraId="0D1B5C6D" w14:textId="7FC218CC" w:rsidR="00D469CC" w:rsidRDefault="00D469CC" w:rsidP="00D469CC">
      <w:r>
        <w:t>Generelt sett er separate sykkelanlegg som regel mer attraktive for syklister enn blandet trafikk</w:t>
      </w:r>
      <w:r w:rsidR="00F110C8">
        <w:t xml:space="preserve"> når det er mye trafikk eller høy fart på vegen</w:t>
      </w:r>
      <w:r>
        <w:t>, og ulykkesrisikoen for den enkelte syklist er som regel lavere, jo flere som sykler</w:t>
      </w:r>
      <w:r w:rsidRPr="00D469CC">
        <w:t xml:space="preserve"> (Fyhri et al., 2016). </w:t>
      </w:r>
    </w:p>
    <w:p w14:paraId="6119229A" w14:textId="0832A744" w:rsidR="00BE30CB" w:rsidRDefault="00864260" w:rsidP="005F1ADE">
      <w:r>
        <w:t xml:space="preserve">De følgende </w:t>
      </w:r>
      <w:r w:rsidR="005F1ADE" w:rsidRPr="005F1ADE">
        <w:t>avsnitte</w:t>
      </w:r>
      <w:r>
        <w:t>ne</w:t>
      </w:r>
      <w:r w:rsidR="005F1ADE" w:rsidRPr="005F1ADE">
        <w:t xml:space="preserve"> beskriver</w:t>
      </w:r>
      <w:r w:rsidR="005F1ADE">
        <w:rPr>
          <w:color w:val="9D5615" w:themeColor="accent3" w:themeShade="BF"/>
        </w:rPr>
        <w:t xml:space="preserve"> </w:t>
      </w:r>
      <w:r w:rsidR="00BE30CB" w:rsidRPr="00CF1CAB">
        <w:t xml:space="preserve">ulike </w:t>
      </w:r>
      <w:r w:rsidR="005F1ADE">
        <w:t xml:space="preserve">tiltak som skal gjøre </w:t>
      </w:r>
      <w:r w:rsidR="00BE30CB" w:rsidRPr="00CF1CAB">
        <w:t>sykling i blandet trafikk</w:t>
      </w:r>
      <w:r w:rsidR="005F1ADE">
        <w:t xml:space="preserve"> </w:t>
      </w:r>
      <w:r w:rsidR="003C635E">
        <w:t>sikrere</w:t>
      </w:r>
      <w:r w:rsidR="005F1ADE">
        <w:t>.</w:t>
      </w:r>
    </w:p>
    <w:p w14:paraId="3DA3A0C2" w14:textId="0ADF6573" w:rsidR="00EE1921" w:rsidRDefault="00EE1921" w:rsidP="005F1ADE">
      <w:pPr>
        <w:pStyle w:val="Overskrift3"/>
      </w:pPr>
      <w:r>
        <w:t>Fart og fartsgrenser</w:t>
      </w:r>
    </w:p>
    <w:p w14:paraId="4AF0B876" w14:textId="73E3E698" w:rsidR="00C055AB" w:rsidRPr="00C055AB" w:rsidRDefault="00EE1921" w:rsidP="009F66DA">
      <w:r w:rsidRPr="003C43A7">
        <w:t>Sammenhengen mellom fart/fartsgrenser og ulykkes</w:t>
      </w:r>
      <w:r w:rsidR="0067422F">
        <w:t>- og skade</w:t>
      </w:r>
      <w:r w:rsidRPr="003C43A7">
        <w:t xml:space="preserve">risiko for syklister er </w:t>
      </w:r>
      <w:r w:rsidR="0067422F">
        <w:t>godt dokumentert. Hvis alt annet er lik, medfører h</w:t>
      </w:r>
      <w:r w:rsidRPr="003C43A7">
        <w:t xml:space="preserve">øyere fart og høyere fartsgrense større </w:t>
      </w:r>
      <w:r w:rsidR="0067422F">
        <w:t xml:space="preserve">ulykkesrisiko og mer </w:t>
      </w:r>
      <w:r w:rsidRPr="003C43A7">
        <w:t>alvorlige skader i sykkelulykker.</w:t>
      </w:r>
      <w:r w:rsidR="009F66DA">
        <w:t xml:space="preserve"> F.</w:t>
      </w:r>
      <w:r w:rsidR="009F66DA" w:rsidRPr="009F66DA">
        <w:t xml:space="preserve">eks. viser </w:t>
      </w:r>
      <w:proofErr w:type="spellStart"/>
      <w:r w:rsidR="009F66DA" w:rsidRPr="009F66DA">
        <w:t>Cripton</w:t>
      </w:r>
      <w:proofErr w:type="spellEnd"/>
      <w:r w:rsidR="009F66DA" w:rsidRPr="009F66DA">
        <w:t xml:space="preserve"> et al. (2015, Canada) at risikoen for å få alvorlige (istedenfor lette) skader i sykkelulykker øker med 27 prosent (+6; +51) for hver økning i gjennomsnittsfarten på 10 km/t.</w:t>
      </w:r>
      <w:r w:rsidR="00AD6AAC">
        <w:t xml:space="preserve"> </w:t>
      </w:r>
      <w:r w:rsidR="00C055AB">
        <w:t xml:space="preserve">Kim et al. </w:t>
      </w:r>
      <w:r w:rsidR="00C055AB" w:rsidRPr="00C055AB">
        <w:t>(2007) viser at risikoen for at en syklist i en kollisjon</w:t>
      </w:r>
      <w:r w:rsidR="00C055AB">
        <w:t xml:space="preserve"> med en bil får alvorlige (istedenfor lette) skader, er nesten tredoblet (+178 prosent [+102; +285]) når bilens fart er på 32-48 km/t istedenfor på 32 km/t eller lavere. Øker bilens fart ytterligere, øker også risikoen, men langt mindre enn fra under 32 km/t til 32-48 km/t. </w:t>
      </w:r>
    </w:p>
    <w:p w14:paraId="26572DD7" w14:textId="3E93E624" w:rsidR="00E1722A" w:rsidRDefault="00AD6AAC" w:rsidP="009F66DA">
      <w:proofErr w:type="spellStart"/>
      <w:r w:rsidRPr="00C055AB">
        <w:lastRenderedPageBreak/>
        <w:t>Paudel</w:t>
      </w:r>
      <w:proofErr w:type="spellEnd"/>
      <w:r w:rsidRPr="00C055AB">
        <w:t xml:space="preserve"> et al. </w:t>
      </w:r>
      <w:r>
        <w:t xml:space="preserve">(2022) viser at fotgjengere i kollisjoner med syklister har høyere skaderisiko når syklisten har høy fart, især over 12 km/t. </w:t>
      </w:r>
    </w:p>
    <w:p w14:paraId="6A8E01CD" w14:textId="52284F27" w:rsidR="004A11F5" w:rsidRDefault="004A11F5" w:rsidP="009F66DA">
      <w:r w:rsidRPr="004A11F5">
        <w:t xml:space="preserve">Resultater fra </w:t>
      </w:r>
      <w:r w:rsidR="00F110C8">
        <w:t xml:space="preserve">tre </w:t>
      </w:r>
      <w:r w:rsidRPr="004A11F5">
        <w:t>studier som har</w:t>
      </w:r>
      <w:r>
        <w:t xml:space="preserve"> undersøkt sammenhengen mellom fartsgrensen og ulykkes- eller skaderisikoen for syklister, er oppsummert i tabell</w:t>
      </w:r>
      <w:r w:rsidR="0080769E">
        <w:t xml:space="preserve"> 1.1.</w:t>
      </w:r>
      <w:r w:rsidR="008E35EB">
        <w:t>1</w:t>
      </w:r>
      <w:r>
        <w:t>.</w:t>
      </w:r>
      <w:r w:rsidR="0080769E">
        <w:t xml:space="preserve"> De fleste resultatene viser at høyere fartsgrenser medfører høyere risiko, men hvor mye risikoen øker, spriker mellom studiene. To av studiene viser at risikoen bare øker til en viss fartsgrense, og synker ved høyere fartsgrenser. Dette kan imidlertid forklares med at det er få syklister på veger med de høyeste fartsgrensene (usikre </w:t>
      </w:r>
      <w:proofErr w:type="spellStart"/>
      <w:r w:rsidR="0080769E">
        <w:t>resulater</w:t>
      </w:r>
      <w:proofErr w:type="spellEnd"/>
      <w:r w:rsidR="0080769E">
        <w:t xml:space="preserve">), samt at det sykles mye på fortauet. Resultatene kan ikke tolkes slik at det er trygt å sykle på veger med høye fartsgrenser.   </w:t>
      </w:r>
    </w:p>
    <w:p w14:paraId="7D3212FE" w14:textId="6E3F583F" w:rsidR="004A11F5" w:rsidRPr="004A11F5" w:rsidRDefault="004A11F5" w:rsidP="004A11F5">
      <w:pPr>
        <w:keepNext/>
        <w:keepLines w:val="0"/>
        <w:spacing w:before="0" w:after="0"/>
        <w:rPr>
          <w:i/>
          <w:iCs/>
        </w:rPr>
      </w:pPr>
      <w:r w:rsidRPr="004A11F5">
        <w:rPr>
          <w:i/>
          <w:iCs/>
        </w:rPr>
        <w:t>Tabell 1.1.</w:t>
      </w:r>
      <w:r w:rsidR="008E35EB">
        <w:rPr>
          <w:i/>
          <w:iCs/>
        </w:rPr>
        <w:t>1</w:t>
      </w:r>
      <w:r w:rsidRPr="004A11F5">
        <w:rPr>
          <w:i/>
          <w:iCs/>
        </w:rPr>
        <w:t xml:space="preserve">: Relativ risiko for ulykker eller for å bli alvorlig (vs. lett) skadd blant syklister i kollisjoner med motorkjøretøy, resultater fra empiriske studier. </w:t>
      </w:r>
    </w:p>
    <w:tbl>
      <w:tblPr>
        <w:tblW w:w="7734" w:type="dxa"/>
        <w:tblCellMar>
          <w:left w:w="70" w:type="dxa"/>
          <w:right w:w="70" w:type="dxa"/>
        </w:tblCellMar>
        <w:tblLook w:val="04A0" w:firstRow="1" w:lastRow="0" w:firstColumn="1" w:lastColumn="0" w:noHBand="0" w:noVBand="1"/>
      </w:tblPr>
      <w:tblGrid>
        <w:gridCol w:w="1200"/>
        <w:gridCol w:w="2202"/>
        <w:gridCol w:w="2057"/>
        <w:gridCol w:w="2275"/>
      </w:tblGrid>
      <w:tr w:rsidR="0080769E" w:rsidRPr="004A11F5" w14:paraId="179A0048" w14:textId="77777777" w:rsidTr="0080769E">
        <w:trPr>
          <w:cantSplit/>
        </w:trPr>
        <w:tc>
          <w:tcPr>
            <w:tcW w:w="1200" w:type="dxa"/>
            <w:tcBorders>
              <w:top w:val="nil"/>
              <w:left w:val="nil"/>
              <w:bottom w:val="single" w:sz="4" w:space="0" w:color="auto"/>
              <w:right w:val="nil"/>
            </w:tcBorders>
            <w:shd w:val="clear" w:color="auto" w:fill="AAD4D9" w:themeFill="accent1" w:themeFillTint="66"/>
            <w:noWrap/>
            <w:vAlign w:val="bottom"/>
            <w:hideMark/>
          </w:tcPr>
          <w:p w14:paraId="61C09046" w14:textId="5FF537A9" w:rsidR="004A11F5" w:rsidRPr="004A11F5" w:rsidRDefault="004A11F5" w:rsidP="004A11F5">
            <w:pPr>
              <w:keepNext/>
              <w:keepLines w:val="0"/>
              <w:spacing w:before="0" w:after="0"/>
              <w:rPr>
                <w:rFonts w:eastAsia="Times New Roman" w:cs="Calibri"/>
                <w:b/>
                <w:bCs/>
                <w:sz w:val="20"/>
                <w:szCs w:val="20"/>
              </w:rPr>
            </w:pPr>
            <w:r w:rsidRPr="004A11F5">
              <w:rPr>
                <w:rFonts w:eastAsia="Times New Roman" w:cs="Calibri"/>
                <w:b/>
                <w:bCs/>
                <w:sz w:val="20"/>
                <w:szCs w:val="20"/>
              </w:rPr>
              <w:t>Fartsgr</w:t>
            </w:r>
            <w:r>
              <w:rPr>
                <w:rFonts w:eastAsia="Times New Roman" w:cs="Calibri"/>
                <w:b/>
                <w:bCs/>
                <w:sz w:val="20"/>
                <w:szCs w:val="20"/>
              </w:rPr>
              <w:t>ense</w:t>
            </w:r>
          </w:p>
        </w:tc>
        <w:tc>
          <w:tcPr>
            <w:tcW w:w="2202" w:type="dxa"/>
            <w:tcBorders>
              <w:top w:val="nil"/>
              <w:left w:val="nil"/>
              <w:bottom w:val="single" w:sz="4" w:space="0" w:color="auto"/>
              <w:right w:val="nil"/>
            </w:tcBorders>
            <w:shd w:val="clear" w:color="auto" w:fill="AAD4D9" w:themeFill="accent1" w:themeFillTint="66"/>
            <w:noWrap/>
            <w:vAlign w:val="bottom"/>
            <w:hideMark/>
          </w:tcPr>
          <w:p w14:paraId="336BB043" w14:textId="21ABD4E1" w:rsidR="004A11F5" w:rsidRPr="004A11F5" w:rsidRDefault="004A11F5" w:rsidP="0080769E">
            <w:pPr>
              <w:keepNext/>
              <w:keepLines w:val="0"/>
              <w:spacing w:before="0" w:after="0"/>
              <w:jc w:val="center"/>
              <w:rPr>
                <w:rFonts w:eastAsia="Times New Roman" w:cs="Calibri"/>
                <w:b/>
                <w:bCs/>
                <w:sz w:val="20"/>
                <w:szCs w:val="20"/>
                <w:lang w:val="da-DK"/>
              </w:rPr>
            </w:pPr>
            <w:r w:rsidRPr="004A11F5">
              <w:rPr>
                <w:rFonts w:eastAsia="Times New Roman" w:cs="Calibri"/>
                <w:b/>
                <w:bCs/>
                <w:sz w:val="20"/>
                <w:szCs w:val="20"/>
                <w:lang w:val="da-DK"/>
              </w:rPr>
              <w:t xml:space="preserve">Aldred et al., 2018 (Storbritannia): </w:t>
            </w:r>
            <w:r w:rsidR="0080769E">
              <w:rPr>
                <w:rFonts w:eastAsia="Times New Roman" w:cs="Calibri"/>
                <w:b/>
                <w:bCs/>
                <w:sz w:val="20"/>
                <w:szCs w:val="20"/>
                <w:lang w:val="da-DK"/>
              </w:rPr>
              <w:br/>
            </w:r>
            <w:r w:rsidRPr="004A11F5">
              <w:rPr>
                <w:rFonts w:eastAsia="Times New Roman" w:cs="Calibri"/>
                <w:b/>
                <w:bCs/>
                <w:sz w:val="20"/>
                <w:szCs w:val="20"/>
                <w:lang w:val="da-DK"/>
              </w:rPr>
              <w:t>Ulykke</w:t>
            </w:r>
          </w:p>
        </w:tc>
        <w:tc>
          <w:tcPr>
            <w:tcW w:w="2057" w:type="dxa"/>
            <w:tcBorders>
              <w:top w:val="nil"/>
              <w:left w:val="nil"/>
              <w:bottom w:val="single" w:sz="4" w:space="0" w:color="auto"/>
              <w:right w:val="nil"/>
            </w:tcBorders>
            <w:shd w:val="clear" w:color="auto" w:fill="AAD4D9" w:themeFill="accent1" w:themeFillTint="66"/>
            <w:noWrap/>
            <w:vAlign w:val="bottom"/>
            <w:hideMark/>
          </w:tcPr>
          <w:p w14:paraId="4555C438" w14:textId="788E5E3A" w:rsidR="004A11F5" w:rsidRPr="004A11F5" w:rsidRDefault="004A11F5" w:rsidP="0080769E">
            <w:pPr>
              <w:keepNext/>
              <w:keepLines w:val="0"/>
              <w:spacing w:before="0" w:after="0"/>
              <w:jc w:val="center"/>
              <w:rPr>
                <w:rFonts w:eastAsia="Times New Roman" w:cs="Calibri"/>
                <w:b/>
                <w:bCs/>
                <w:sz w:val="20"/>
                <w:szCs w:val="20"/>
              </w:rPr>
            </w:pPr>
            <w:proofErr w:type="spellStart"/>
            <w:r w:rsidRPr="004A11F5">
              <w:rPr>
                <w:rFonts w:eastAsia="Times New Roman" w:cs="Calibri"/>
                <w:b/>
                <w:bCs/>
                <w:sz w:val="20"/>
                <w:szCs w:val="20"/>
              </w:rPr>
              <w:t>Boufous</w:t>
            </w:r>
            <w:proofErr w:type="spellEnd"/>
            <w:r w:rsidRPr="004A11F5">
              <w:rPr>
                <w:rFonts w:eastAsia="Times New Roman" w:cs="Calibri"/>
                <w:b/>
                <w:bCs/>
                <w:sz w:val="20"/>
                <w:szCs w:val="20"/>
              </w:rPr>
              <w:t xml:space="preserve"> et al., 2012 (Australia):</w:t>
            </w:r>
            <w:r w:rsidRPr="004A11F5">
              <w:rPr>
                <w:rFonts w:eastAsia="Times New Roman" w:cs="Calibri"/>
                <w:b/>
                <w:bCs/>
                <w:sz w:val="20"/>
                <w:szCs w:val="20"/>
              </w:rPr>
              <w:br/>
              <w:t>Alvorlig vs. lett skadd</w:t>
            </w:r>
          </w:p>
        </w:tc>
        <w:tc>
          <w:tcPr>
            <w:tcW w:w="2275" w:type="dxa"/>
            <w:tcBorders>
              <w:top w:val="nil"/>
              <w:left w:val="nil"/>
              <w:bottom w:val="single" w:sz="4" w:space="0" w:color="auto"/>
              <w:right w:val="nil"/>
            </w:tcBorders>
            <w:shd w:val="clear" w:color="auto" w:fill="AAD4D9" w:themeFill="accent1" w:themeFillTint="66"/>
            <w:noWrap/>
            <w:vAlign w:val="bottom"/>
            <w:hideMark/>
          </w:tcPr>
          <w:p w14:paraId="065575EF" w14:textId="417EEC4E" w:rsidR="004A11F5" w:rsidRPr="004A11F5" w:rsidRDefault="004A11F5" w:rsidP="0080769E">
            <w:pPr>
              <w:keepNext/>
              <w:keepLines w:val="0"/>
              <w:spacing w:before="0" w:after="0"/>
              <w:jc w:val="center"/>
              <w:rPr>
                <w:rFonts w:eastAsia="Times New Roman" w:cs="Calibri"/>
                <w:b/>
                <w:bCs/>
                <w:sz w:val="20"/>
                <w:szCs w:val="20"/>
              </w:rPr>
            </w:pPr>
            <w:r w:rsidRPr="004A11F5">
              <w:rPr>
                <w:rFonts w:eastAsia="Times New Roman" w:cs="Calibri"/>
                <w:b/>
                <w:bCs/>
                <w:sz w:val="20"/>
                <w:szCs w:val="20"/>
              </w:rPr>
              <w:t>Isaksson-</w:t>
            </w:r>
            <w:proofErr w:type="spellStart"/>
            <w:r w:rsidRPr="004A11F5">
              <w:rPr>
                <w:rFonts w:eastAsia="Times New Roman" w:cs="Calibri"/>
                <w:b/>
                <w:bCs/>
                <w:sz w:val="20"/>
                <w:szCs w:val="20"/>
              </w:rPr>
              <w:t>Hellman</w:t>
            </w:r>
            <w:proofErr w:type="spellEnd"/>
            <w:r w:rsidRPr="004A11F5">
              <w:rPr>
                <w:rFonts w:eastAsia="Times New Roman" w:cs="Calibri"/>
                <w:b/>
                <w:bCs/>
                <w:sz w:val="20"/>
                <w:szCs w:val="20"/>
              </w:rPr>
              <w:t xml:space="preserve"> &amp; </w:t>
            </w:r>
            <w:proofErr w:type="spellStart"/>
            <w:r w:rsidRPr="004A11F5">
              <w:rPr>
                <w:rFonts w:eastAsia="Times New Roman" w:cs="Calibri"/>
                <w:b/>
                <w:bCs/>
                <w:sz w:val="20"/>
                <w:szCs w:val="20"/>
              </w:rPr>
              <w:t>Tøreki</w:t>
            </w:r>
            <w:proofErr w:type="spellEnd"/>
            <w:r w:rsidRPr="004A11F5">
              <w:rPr>
                <w:rFonts w:eastAsia="Times New Roman" w:cs="Calibri"/>
                <w:b/>
                <w:bCs/>
                <w:sz w:val="20"/>
                <w:szCs w:val="20"/>
              </w:rPr>
              <w:t xml:space="preserve">, 2019 (Sverige): </w:t>
            </w:r>
            <w:r w:rsidRPr="004A11F5">
              <w:rPr>
                <w:rFonts w:eastAsia="Times New Roman" w:cs="Calibri"/>
                <w:b/>
                <w:bCs/>
                <w:sz w:val="20"/>
                <w:szCs w:val="20"/>
              </w:rPr>
              <w:br/>
              <w:t>Alvorlig vs. lett skadd</w:t>
            </w:r>
          </w:p>
        </w:tc>
      </w:tr>
      <w:tr w:rsidR="004A11F5" w:rsidRPr="004A11F5" w14:paraId="0769E690" w14:textId="77777777" w:rsidTr="0080769E">
        <w:trPr>
          <w:cantSplit/>
        </w:trPr>
        <w:tc>
          <w:tcPr>
            <w:tcW w:w="1200" w:type="dxa"/>
            <w:tcBorders>
              <w:top w:val="single" w:sz="4" w:space="0" w:color="auto"/>
              <w:left w:val="nil"/>
              <w:bottom w:val="dotted" w:sz="4" w:space="0" w:color="auto"/>
              <w:right w:val="nil"/>
            </w:tcBorders>
            <w:noWrap/>
            <w:vAlign w:val="center"/>
            <w:hideMark/>
          </w:tcPr>
          <w:p w14:paraId="0A099550" w14:textId="629D893E" w:rsidR="004A11F5" w:rsidRPr="004A11F5" w:rsidRDefault="004A11F5"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30 km/t</w:t>
            </w:r>
          </w:p>
        </w:tc>
        <w:tc>
          <w:tcPr>
            <w:tcW w:w="2202" w:type="dxa"/>
            <w:tcBorders>
              <w:top w:val="single" w:sz="4" w:space="0" w:color="auto"/>
              <w:left w:val="nil"/>
              <w:bottom w:val="dotted" w:sz="4" w:space="0" w:color="auto"/>
              <w:right w:val="nil"/>
            </w:tcBorders>
            <w:noWrap/>
            <w:vAlign w:val="center"/>
            <w:hideMark/>
          </w:tcPr>
          <w:p w14:paraId="2CB1D8A8" w14:textId="05B9A7CA" w:rsidR="004A11F5" w:rsidRPr="004A11F5" w:rsidRDefault="004A11F5"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00</w:t>
            </w:r>
            <w:r>
              <w:rPr>
                <w:rFonts w:eastAsia="Times New Roman" w:cs="Calibri"/>
                <w:sz w:val="20"/>
                <w:szCs w:val="20"/>
              </w:rPr>
              <w:t xml:space="preserve"> (ref.)</w:t>
            </w:r>
          </w:p>
        </w:tc>
        <w:tc>
          <w:tcPr>
            <w:tcW w:w="2057" w:type="dxa"/>
            <w:tcBorders>
              <w:top w:val="single" w:sz="4" w:space="0" w:color="auto"/>
              <w:left w:val="nil"/>
              <w:bottom w:val="dotted" w:sz="4" w:space="0" w:color="auto"/>
              <w:right w:val="nil"/>
            </w:tcBorders>
            <w:noWrap/>
            <w:vAlign w:val="center"/>
            <w:hideMark/>
          </w:tcPr>
          <w:p w14:paraId="3DD18085" w14:textId="77777777" w:rsidR="004A11F5" w:rsidRPr="004A11F5" w:rsidRDefault="004A11F5" w:rsidP="0080769E">
            <w:pPr>
              <w:keepNext/>
              <w:keepLines w:val="0"/>
              <w:spacing w:before="0" w:after="0"/>
              <w:jc w:val="center"/>
              <w:rPr>
                <w:rFonts w:eastAsia="Times New Roman" w:cs="Calibri"/>
                <w:sz w:val="20"/>
                <w:szCs w:val="20"/>
              </w:rPr>
            </w:pPr>
          </w:p>
        </w:tc>
        <w:tc>
          <w:tcPr>
            <w:tcW w:w="2275" w:type="dxa"/>
            <w:vMerge w:val="restart"/>
            <w:tcBorders>
              <w:top w:val="single" w:sz="4" w:space="0" w:color="auto"/>
              <w:left w:val="nil"/>
              <w:bottom w:val="dotted" w:sz="4" w:space="0" w:color="auto"/>
              <w:right w:val="nil"/>
            </w:tcBorders>
            <w:noWrap/>
            <w:vAlign w:val="center"/>
            <w:hideMark/>
          </w:tcPr>
          <w:p w14:paraId="293C3FD7" w14:textId="006FF133" w:rsidR="004A11F5" w:rsidRPr="004A11F5" w:rsidRDefault="004A11F5" w:rsidP="0080769E">
            <w:pPr>
              <w:keepNext/>
              <w:spacing w:before="0" w:after="0"/>
              <w:jc w:val="center"/>
              <w:rPr>
                <w:rFonts w:eastAsia="Times New Roman" w:cs="Calibri"/>
                <w:sz w:val="20"/>
                <w:szCs w:val="20"/>
              </w:rPr>
            </w:pPr>
            <w:r>
              <w:rPr>
                <w:rFonts w:eastAsia="Times New Roman" w:cs="Calibri"/>
                <w:sz w:val="20"/>
                <w:szCs w:val="20"/>
              </w:rPr>
              <w:t>1,00 (ref.)</w:t>
            </w:r>
          </w:p>
        </w:tc>
      </w:tr>
      <w:tr w:rsidR="004A11F5" w:rsidRPr="004A11F5" w14:paraId="2C1F4302" w14:textId="77777777" w:rsidTr="0080769E">
        <w:trPr>
          <w:cantSplit/>
        </w:trPr>
        <w:tc>
          <w:tcPr>
            <w:tcW w:w="1200" w:type="dxa"/>
            <w:tcBorders>
              <w:top w:val="dotted" w:sz="4" w:space="0" w:color="auto"/>
              <w:left w:val="nil"/>
              <w:bottom w:val="dotted" w:sz="4" w:space="0" w:color="auto"/>
              <w:right w:val="nil"/>
            </w:tcBorders>
            <w:noWrap/>
            <w:vAlign w:val="center"/>
            <w:hideMark/>
          </w:tcPr>
          <w:p w14:paraId="04BED26C" w14:textId="3335CE34" w:rsidR="004A11F5" w:rsidRPr="004A11F5" w:rsidRDefault="004A11F5"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40 km/t</w:t>
            </w:r>
          </w:p>
        </w:tc>
        <w:tc>
          <w:tcPr>
            <w:tcW w:w="2202" w:type="dxa"/>
            <w:tcBorders>
              <w:top w:val="dotted" w:sz="4" w:space="0" w:color="auto"/>
              <w:left w:val="nil"/>
              <w:bottom w:val="dotted" w:sz="4" w:space="0" w:color="auto"/>
              <w:right w:val="nil"/>
            </w:tcBorders>
            <w:noWrap/>
            <w:vAlign w:val="center"/>
            <w:hideMark/>
          </w:tcPr>
          <w:p w14:paraId="279B1DE0" w14:textId="77777777" w:rsidR="004A11F5" w:rsidRPr="004A11F5" w:rsidRDefault="004A11F5" w:rsidP="0080769E">
            <w:pPr>
              <w:keepNext/>
              <w:keepLines w:val="0"/>
              <w:spacing w:before="0" w:after="0"/>
              <w:jc w:val="center"/>
              <w:rPr>
                <w:rFonts w:eastAsia="Times New Roman" w:cs="Calibri"/>
                <w:sz w:val="20"/>
                <w:szCs w:val="20"/>
              </w:rPr>
            </w:pPr>
          </w:p>
        </w:tc>
        <w:tc>
          <w:tcPr>
            <w:tcW w:w="2057" w:type="dxa"/>
            <w:vMerge w:val="restart"/>
            <w:tcBorders>
              <w:top w:val="dotted" w:sz="4" w:space="0" w:color="auto"/>
              <w:left w:val="nil"/>
              <w:bottom w:val="dotted" w:sz="4" w:space="0" w:color="auto"/>
              <w:right w:val="nil"/>
            </w:tcBorders>
            <w:noWrap/>
            <w:vAlign w:val="center"/>
            <w:hideMark/>
          </w:tcPr>
          <w:p w14:paraId="04D5ED66" w14:textId="402761FF" w:rsidR="004A11F5" w:rsidRPr="004A11F5" w:rsidRDefault="004A11F5"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00</w:t>
            </w:r>
            <w:r>
              <w:rPr>
                <w:rFonts w:eastAsia="Times New Roman" w:cs="Calibri"/>
                <w:sz w:val="20"/>
                <w:szCs w:val="20"/>
              </w:rPr>
              <w:t xml:space="preserve"> (ref.)</w:t>
            </w:r>
          </w:p>
        </w:tc>
        <w:tc>
          <w:tcPr>
            <w:tcW w:w="2275" w:type="dxa"/>
            <w:vMerge/>
            <w:tcBorders>
              <w:top w:val="dotted" w:sz="4" w:space="0" w:color="auto"/>
              <w:left w:val="nil"/>
              <w:bottom w:val="dotted" w:sz="4" w:space="0" w:color="auto"/>
              <w:right w:val="nil"/>
            </w:tcBorders>
            <w:noWrap/>
            <w:vAlign w:val="center"/>
            <w:hideMark/>
          </w:tcPr>
          <w:p w14:paraId="1E011F6C" w14:textId="49A512FB" w:rsidR="004A11F5" w:rsidRPr="004A11F5" w:rsidRDefault="004A11F5" w:rsidP="0080769E">
            <w:pPr>
              <w:keepNext/>
              <w:keepLines w:val="0"/>
              <w:spacing w:before="0" w:after="0"/>
              <w:jc w:val="center"/>
              <w:rPr>
                <w:rFonts w:eastAsia="Times New Roman" w:cs="Calibri"/>
                <w:sz w:val="20"/>
                <w:szCs w:val="20"/>
              </w:rPr>
            </w:pPr>
          </w:p>
        </w:tc>
      </w:tr>
      <w:tr w:rsidR="0080769E" w:rsidRPr="004A11F5" w14:paraId="01C7B6EB" w14:textId="77777777" w:rsidTr="0080769E">
        <w:trPr>
          <w:cantSplit/>
        </w:trPr>
        <w:tc>
          <w:tcPr>
            <w:tcW w:w="1200" w:type="dxa"/>
            <w:tcBorders>
              <w:top w:val="dotted" w:sz="4" w:space="0" w:color="auto"/>
              <w:left w:val="nil"/>
              <w:bottom w:val="dotted" w:sz="4" w:space="0" w:color="auto"/>
              <w:right w:val="nil"/>
            </w:tcBorders>
            <w:noWrap/>
            <w:vAlign w:val="center"/>
            <w:hideMark/>
          </w:tcPr>
          <w:p w14:paraId="465A7639" w14:textId="32345E55" w:rsidR="0080769E" w:rsidRPr="004A11F5" w:rsidRDefault="0080769E"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50 km/t</w:t>
            </w:r>
          </w:p>
        </w:tc>
        <w:tc>
          <w:tcPr>
            <w:tcW w:w="2202" w:type="dxa"/>
            <w:tcBorders>
              <w:top w:val="dotted" w:sz="4" w:space="0" w:color="auto"/>
              <w:left w:val="nil"/>
              <w:bottom w:val="dotted" w:sz="4" w:space="0" w:color="auto"/>
              <w:right w:val="nil"/>
            </w:tcBorders>
            <w:noWrap/>
            <w:vAlign w:val="center"/>
            <w:hideMark/>
          </w:tcPr>
          <w:p w14:paraId="17764206" w14:textId="6686AE31"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20</w:t>
            </w:r>
          </w:p>
        </w:tc>
        <w:tc>
          <w:tcPr>
            <w:tcW w:w="2057" w:type="dxa"/>
            <w:vMerge/>
            <w:tcBorders>
              <w:top w:val="dotted" w:sz="4" w:space="0" w:color="auto"/>
              <w:left w:val="nil"/>
              <w:bottom w:val="dotted" w:sz="4" w:space="0" w:color="auto"/>
              <w:right w:val="nil"/>
            </w:tcBorders>
            <w:noWrap/>
            <w:vAlign w:val="center"/>
            <w:hideMark/>
          </w:tcPr>
          <w:p w14:paraId="2ECFA770" w14:textId="401B9B25" w:rsidR="0080769E" w:rsidRPr="004A11F5" w:rsidRDefault="0080769E" w:rsidP="0080769E">
            <w:pPr>
              <w:keepNext/>
              <w:keepLines w:val="0"/>
              <w:spacing w:before="0" w:after="0"/>
              <w:jc w:val="center"/>
              <w:rPr>
                <w:rFonts w:eastAsia="Times New Roman" w:cs="Calibri"/>
                <w:sz w:val="20"/>
                <w:szCs w:val="20"/>
              </w:rPr>
            </w:pPr>
          </w:p>
        </w:tc>
        <w:tc>
          <w:tcPr>
            <w:tcW w:w="2275" w:type="dxa"/>
            <w:vMerge w:val="restart"/>
            <w:tcBorders>
              <w:top w:val="dotted" w:sz="4" w:space="0" w:color="auto"/>
              <w:left w:val="nil"/>
              <w:right w:val="nil"/>
            </w:tcBorders>
            <w:noWrap/>
            <w:vAlign w:val="center"/>
            <w:hideMark/>
          </w:tcPr>
          <w:p w14:paraId="6F57438F" w14:textId="18F500DC"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72</w:t>
            </w:r>
          </w:p>
        </w:tc>
      </w:tr>
      <w:tr w:rsidR="0080769E" w:rsidRPr="004A11F5" w14:paraId="28C449B1" w14:textId="77777777" w:rsidTr="00EA7865">
        <w:trPr>
          <w:cantSplit/>
        </w:trPr>
        <w:tc>
          <w:tcPr>
            <w:tcW w:w="1200" w:type="dxa"/>
            <w:tcBorders>
              <w:top w:val="dotted" w:sz="4" w:space="0" w:color="auto"/>
              <w:left w:val="nil"/>
              <w:bottom w:val="dotted" w:sz="4" w:space="0" w:color="auto"/>
              <w:right w:val="nil"/>
            </w:tcBorders>
            <w:noWrap/>
            <w:vAlign w:val="center"/>
            <w:hideMark/>
          </w:tcPr>
          <w:p w14:paraId="65C1137C" w14:textId="1E13BA9F" w:rsidR="0080769E" w:rsidRPr="004A11F5" w:rsidRDefault="0080769E"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60 km/t</w:t>
            </w:r>
          </w:p>
        </w:tc>
        <w:tc>
          <w:tcPr>
            <w:tcW w:w="2202" w:type="dxa"/>
            <w:vMerge w:val="restart"/>
            <w:tcBorders>
              <w:top w:val="dotted" w:sz="4" w:space="0" w:color="auto"/>
              <w:left w:val="nil"/>
              <w:right w:val="nil"/>
            </w:tcBorders>
            <w:noWrap/>
            <w:vAlign w:val="center"/>
            <w:hideMark/>
          </w:tcPr>
          <w:p w14:paraId="3B156C24" w14:textId="7FFFFAF6"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0</w:t>
            </w:r>
            <w:r>
              <w:rPr>
                <w:rFonts w:eastAsia="Times New Roman" w:cs="Calibri"/>
                <w:sz w:val="20"/>
                <w:szCs w:val="20"/>
              </w:rPr>
              <w:t>,</w:t>
            </w:r>
            <w:r w:rsidRPr="004A11F5">
              <w:rPr>
                <w:rFonts w:eastAsia="Times New Roman" w:cs="Calibri"/>
                <w:sz w:val="20"/>
                <w:szCs w:val="20"/>
              </w:rPr>
              <w:t>60</w:t>
            </w:r>
          </w:p>
        </w:tc>
        <w:tc>
          <w:tcPr>
            <w:tcW w:w="2057" w:type="dxa"/>
            <w:tcBorders>
              <w:top w:val="dotted" w:sz="4" w:space="0" w:color="auto"/>
              <w:left w:val="nil"/>
              <w:bottom w:val="dotted" w:sz="4" w:space="0" w:color="auto"/>
              <w:right w:val="nil"/>
            </w:tcBorders>
            <w:noWrap/>
            <w:vAlign w:val="center"/>
            <w:hideMark/>
          </w:tcPr>
          <w:p w14:paraId="3FE287BB" w14:textId="649865FD"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13</w:t>
            </w:r>
          </w:p>
        </w:tc>
        <w:tc>
          <w:tcPr>
            <w:tcW w:w="2275" w:type="dxa"/>
            <w:vMerge/>
            <w:tcBorders>
              <w:left w:val="nil"/>
              <w:bottom w:val="dotted" w:sz="4" w:space="0" w:color="auto"/>
              <w:right w:val="nil"/>
            </w:tcBorders>
            <w:noWrap/>
            <w:vAlign w:val="center"/>
            <w:hideMark/>
          </w:tcPr>
          <w:p w14:paraId="707DE4ED" w14:textId="5E09D895" w:rsidR="0080769E" w:rsidRPr="004A11F5" w:rsidRDefault="0080769E" w:rsidP="0080769E">
            <w:pPr>
              <w:keepNext/>
              <w:keepLines w:val="0"/>
              <w:spacing w:before="0" w:after="0"/>
              <w:jc w:val="center"/>
              <w:rPr>
                <w:rFonts w:eastAsia="Times New Roman" w:cs="Calibri"/>
                <w:sz w:val="20"/>
                <w:szCs w:val="20"/>
              </w:rPr>
            </w:pPr>
          </w:p>
        </w:tc>
      </w:tr>
      <w:tr w:rsidR="0080769E" w:rsidRPr="004A11F5" w14:paraId="376B4989" w14:textId="77777777" w:rsidTr="00EA7865">
        <w:trPr>
          <w:cantSplit/>
        </w:trPr>
        <w:tc>
          <w:tcPr>
            <w:tcW w:w="1200" w:type="dxa"/>
            <w:tcBorders>
              <w:top w:val="dotted" w:sz="4" w:space="0" w:color="auto"/>
              <w:left w:val="nil"/>
              <w:bottom w:val="dotted" w:sz="4" w:space="0" w:color="auto"/>
              <w:right w:val="nil"/>
            </w:tcBorders>
            <w:noWrap/>
            <w:vAlign w:val="center"/>
            <w:hideMark/>
          </w:tcPr>
          <w:p w14:paraId="0D4BCCDE" w14:textId="75EB3422" w:rsidR="0080769E" w:rsidRPr="004A11F5" w:rsidRDefault="0080769E"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70 km/t</w:t>
            </w:r>
          </w:p>
        </w:tc>
        <w:tc>
          <w:tcPr>
            <w:tcW w:w="2202" w:type="dxa"/>
            <w:vMerge/>
            <w:tcBorders>
              <w:left w:val="nil"/>
              <w:right w:val="nil"/>
            </w:tcBorders>
            <w:noWrap/>
            <w:vAlign w:val="center"/>
            <w:hideMark/>
          </w:tcPr>
          <w:p w14:paraId="2FFF11A7" w14:textId="77777777" w:rsidR="0080769E" w:rsidRPr="004A11F5" w:rsidRDefault="0080769E" w:rsidP="0080769E">
            <w:pPr>
              <w:keepNext/>
              <w:keepLines w:val="0"/>
              <w:spacing w:before="0" w:after="0"/>
              <w:jc w:val="center"/>
              <w:rPr>
                <w:rFonts w:eastAsia="Times New Roman" w:cs="Calibri"/>
                <w:sz w:val="20"/>
                <w:szCs w:val="20"/>
              </w:rPr>
            </w:pPr>
          </w:p>
        </w:tc>
        <w:tc>
          <w:tcPr>
            <w:tcW w:w="2057" w:type="dxa"/>
            <w:vMerge w:val="restart"/>
            <w:tcBorders>
              <w:top w:val="dotted" w:sz="4" w:space="0" w:color="auto"/>
              <w:left w:val="nil"/>
              <w:right w:val="nil"/>
            </w:tcBorders>
            <w:noWrap/>
            <w:vAlign w:val="center"/>
            <w:hideMark/>
          </w:tcPr>
          <w:p w14:paraId="571F5C8B" w14:textId="4FA152F7"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29</w:t>
            </w:r>
          </w:p>
          <w:p w14:paraId="67550590" w14:textId="3C9F20B3" w:rsidR="0080769E" w:rsidRPr="004A11F5" w:rsidRDefault="0080769E" w:rsidP="0080769E">
            <w:pPr>
              <w:keepNext/>
              <w:spacing w:before="0" w:after="0"/>
              <w:jc w:val="center"/>
              <w:rPr>
                <w:rFonts w:eastAsia="Times New Roman" w:cs="Calibri"/>
                <w:sz w:val="20"/>
                <w:szCs w:val="20"/>
              </w:rPr>
            </w:pPr>
          </w:p>
        </w:tc>
        <w:tc>
          <w:tcPr>
            <w:tcW w:w="2275" w:type="dxa"/>
            <w:vMerge w:val="restart"/>
            <w:tcBorders>
              <w:top w:val="dotted" w:sz="4" w:space="0" w:color="auto"/>
              <w:left w:val="nil"/>
              <w:right w:val="nil"/>
            </w:tcBorders>
            <w:noWrap/>
            <w:vAlign w:val="center"/>
            <w:hideMark/>
          </w:tcPr>
          <w:p w14:paraId="6CF23F69" w14:textId="2E77CDB3" w:rsidR="0080769E" w:rsidRPr="004A11F5" w:rsidRDefault="0080769E" w:rsidP="0080769E">
            <w:pPr>
              <w:keepNext/>
              <w:keepLines w:val="0"/>
              <w:spacing w:before="0" w:after="0"/>
              <w:jc w:val="center"/>
              <w:rPr>
                <w:rFonts w:eastAsia="Times New Roman" w:cs="Calibri"/>
                <w:sz w:val="20"/>
                <w:szCs w:val="20"/>
              </w:rPr>
            </w:pPr>
            <w:r w:rsidRPr="004A11F5">
              <w:rPr>
                <w:rFonts w:eastAsia="Times New Roman" w:cs="Calibri"/>
                <w:sz w:val="20"/>
                <w:szCs w:val="20"/>
              </w:rPr>
              <w:t>8</w:t>
            </w:r>
            <w:r>
              <w:rPr>
                <w:rFonts w:eastAsia="Times New Roman" w:cs="Calibri"/>
                <w:sz w:val="20"/>
                <w:szCs w:val="20"/>
              </w:rPr>
              <w:t>,</w:t>
            </w:r>
            <w:r w:rsidRPr="004A11F5">
              <w:rPr>
                <w:rFonts w:eastAsia="Times New Roman" w:cs="Calibri"/>
                <w:sz w:val="20"/>
                <w:szCs w:val="20"/>
              </w:rPr>
              <w:t>62</w:t>
            </w:r>
          </w:p>
          <w:p w14:paraId="43C3539B" w14:textId="291365C5" w:rsidR="0080769E" w:rsidRPr="004A11F5" w:rsidRDefault="0080769E" w:rsidP="0080769E">
            <w:pPr>
              <w:keepNext/>
              <w:spacing w:before="0" w:after="0"/>
              <w:jc w:val="center"/>
              <w:rPr>
                <w:rFonts w:eastAsia="Times New Roman" w:cs="Calibri"/>
                <w:sz w:val="20"/>
                <w:szCs w:val="20"/>
              </w:rPr>
            </w:pPr>
          </w:p>
        </w:tc>
      </w:tr>
      <w:tr w:rsidR="0080769E" w:rsidRPr="004A11F5" w14:paraId="1197CD39" w14:textId="77777777" w:rsidTr="00EA7865">
        <w:trPr>
          <w:cantSplit/>
        </w:trPr>
        <w:tc>
          <w:tcPr>
            <w:tcW w:w="1200" w:type="dxa"/>
            <w:tcBorders>
              <w:top w:val="dotted" w:sz="4" w:space="0" w:color="auto"/>
              <w:left w:val="nil"/>
              <w:bottom w:val="dotted" w:sz="4" w:space="0" w:color="auto"/>
              <w:right w:val="nil"/>
            </w:tcBorders>
            <w:noWrap/>
            <w:vAlign w:val="center"/>
            <w:hideMark/>
          </w:tcPr>
          <w:p w14:paraId="29F0D9A6" w14:textId="5B3BFC67" w:rsidR="0080769E" w:rsidRPr="004A11F5" w:rsidRDefault="0080769E"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80 km/t</w:t>
            </w:r>
          </w:p>
        </w:tc>
        <w:tc>
          <w:tcPr>
            <w:tcW w:w="2202" w:type="dxa"/>
            <w:vMerge/>
            <w:tcBorders>
              <w:left w:val="nil"/>
              <w:right w:val="nil"/>
            </w:tcBorders>
            <w:noWrap/>
            <w:vAlign w:val="center"/>
            <w:hideMark/>
          </w:tcPr>
          <w:p w14:paraId="17DA76B8" w14:textId="77777777" w:rsidR="0080769E" w:rsidRPr="004A11F5" w:rsidRDefault="0080769E" w:rsidP="0080769E">
            <w:pPr>
              <w:keepNext/>
              <w:keepLines w:val="0"/>
              <w:spacing w:before="0" w:after="0"/>
              <w:jc w:val="center"/>
              <w:rPr>
                <w:rFonts w:eastAsia="Times New Roman" w:cs="Calibri"/>
                <w:sz w:val="20"/>
                <w:szCs w:val="20"/>
              </w:rPr>
            </w:pPr>
          </w:p>
        </w:tc>
        <w:tc>
          <w:tcPr>
            <w:tcW w:w="2057" w:type="dxa"/>
            <w:vMerge/>
            <w:tcBorders>
              <w:left w:val="nil"/>
              <w:right w:val="nil"/>
            </w:tcBorders>
            <w:noWrap/>
            <w:vAlign w:val="center"/>
            <w:hideMark/>
          </w:tcPr>
          <w:p w14:paraId="33093A46" w14:textId="23C1A68E" w:rsidR="0080769E" w:rsidRPr="004A11F5" w:rsidRDefault="0080769E" w:rsidP="0080769E">
            <w:pPr>
              <w:keepNext/>
              <w:spacing w:before="0" w:after="0"/>
              <w:jc w:val="center"/>
              <w:rPr>
                <w:rFonts w:eastAsia="Times New Roman" w:cs="Calibri"/>
                <w:sz w:val="20"/>
                <w:szCs w:val="20"/>
              </w:rPr>
            </w:pPr>
          </w:p>
        </w:tc>
        <w:tc>
          <w:tcPr>
            <w:tcW w:w="2275" w:type="dxa"/>
            <w:vMerge/>
            <w:tcBorders>
              <w:left w:val="nil"/>
              <w:right w:val="nil"/>
            </w:tcBorders>
            <w:noWrap/>
            <w:vAlign w:val="center"/>
            <w:hideMark/>
          </w:tcPr>
          <w:p w14:paraId="040D6993" w14:textId="4BADFDE6" w:rsidR="0080769E" w:rsidRPr="004A11F5" w:rsidRDefault="0080769E" w:rsidP="0080769E">
            <w:pPr>
              <w:keepNext/>
              <w:spacing w:before="0" w:after="0"/>
              <w:jc w:val="center"/>
              <w:rPr>
                <w:rFonts w:eastAsia="Times New Roman" w:cs="Calibri"/>
                <w:sz w:val="20"/>
                <w:szCs w:val="20"/>
              </w:rPr>
            </w:pPr>
          </w:p>
        </w:tc>
      </w:tr>
      <w:tr w:rsidR="0080769E" w:rsidRPr="004A11F5" w14:paraId="0FD9407A" w14:textId="77777777" w:rsidTr="00EA7865">
        <w:trPr>
          <w:cantSplit/>
        </w:trPr>
        <w:tc>
          <w:tcPr>
            <w:tcW w:w="1200" w:type="dxa"/>
            <w:tcBorders>
              <w:top w:val="dotted" w:sz="4" w:space="0" w:color="auto"/>
              <w:left w:val="nil"/>
              <w:bottom w:val="dotted" w:sz="4" w:space="0" w:color="auto"/>
              <w:right w:val="nil"/>
            </w:tcBorders>
            <w:noWrap/>
            <w:vAlign w:val="center"/>
            <w:hideMark/>
          </w:tcPr>
          <w:p w14:paraId="07A8CC9E" w14:textId="274EE598" w:rsidR="0080769E" w:rsidRPr="004A11F5" w:rsidRDefault="0080769E" w:rsidP="004A11F5">
            <w:pPr>
              <w:keepNext/>
              <w:keepLines w:val="0"/>
              <w:spacing w:before="0" w:after="0"/>
              <w:jc w:val="right"/>
              <w:rPr>
                <w:rFonts w:eastAsia="Times New Roman" w:cs="Calibri"/>
                <w:b/>
                <w:bCs/>
                <w:sz w:val="20"/>
                <w:szCs w:val="20"/>
              </w:rPr>
            </w:pPr>
            <w:r w:rsidRPr="004A11F5">
              <w:rPr>
                <w:rFonts w:eastAsia="Times New Roman" w:cs="Calibri"/>
                <w:b/>
                <w:bCs/>
                <w:sz w:val="20"/>
                <w:szCs w:val="20"/>
              </w:rPr>
              <w:t>90 km/t</w:t>
            </w:r>
          </w:p>
        </w:tc>
        <w:tc>
          <w:tcPr>
            <w:tcW w:w="2202" w:type="dxa"/>
            <w:vMerge/>
            <w:tcBorders>
              <w:left w:val="nil"/>
              <w:bottom w:val="dotted" w:sz="4" w:space="0" w:color="auto"/>
              <w:right w:val="nil"/>
            </w:tcBorders>
            <w:noWrap/>
            <w:vAlign w:val="center"/>
            <w:hideMark/>
          </w:tcPr>
          <w:p w14:paraId="71BE72C2" w14:textId="77777777" w:rsidR="0080769E" w:rsidRPr="004A11F5" w:rsidRDefault="0080769E" w:rsidP="0080769E">
            <w:pPr>
              <w:keepNext/>
              <w:keepLines w:val="0"/>
              <w:spacing w:before="0" w:after="0"/>
              <w:jc w:val="center"/>
              <w:rPr>
                <w:rFonts w:eastAsia="Times New Roman" w:cs="Calibri"/>
                <w:sz w:val="20"/>
                <w:szCs w:val="20"/>
              </w:rPr>
            </w:pPr>
          </w:p>
        </w:tc>
        <w:tc>
          <w:tcPr>
            <w:tcW w:w="2057" w:type="dxa"/>
            <w:vMerge/>
            <w:tcBorders>
              <w:left w:val="nil"/>
              <w:bottom w:val="dotted" w:sz="4" w:space="0" w:color="auto"/>
              <w:right w:val="nil"/>
            </w:tcBorders>
            <w:noWrap/>
            <w:vAlign w:val="center"/>
            <w:hideMark/>
          </w:tcPr>
          <w:p w14:paraId="32456082" w14:textId="7A591F93" w:rsidR="0080769E" w:rsidRPr="004A11F5" w:rsidRDefault="0080769E" w:rsidP="0080769E">
            <w:pPr>
              <w:keepNext/>
              <w:keepLines w:val="0"/>
              <w:spacing w:before="0" w:after="0"/>
              <w:jc w:val="center"/>
              <w:rPr>
                <w:rFonts w:eastAsia="Times New Roman" w:cs="Calibri"/>
                <w:sz w:val="20"/>
                <w:szCs w:val="20"/>
              </w:rPr>
            </w:pPr>
          </w:p>
        </w:tc>
        <w:tc>
          <w:tcPr>
            <w:tcW w:w="2275" w:type="dxa"/>
            <w:vMerge/>
            <w:tcBorders>
              <w:left w:val="nil"/>
              <w:bottom w:val="dotted" w:sz="4" w:space="0" w:color="auto"/>
              <w:right w:val="nil"/>
            </w:tcBorders>
            <w:noWrap/>
            <w:vAlign w:val="center"/>
            <w:hideMark/>
          </w:tcPr>
          <w:p w14:paraId="2A942196" w14:textId="0429CD7E" w:rsidR="0080769E" w:rsidRPr="004A11F5" w:rsidRDefault="0080769E" w:rsidP="0080769E">
            <w:pPr>
              <w:keepNext/>
              <w:keepLines w:val="0"/>
              <w:spacing w:before="0" w:after="0"/>
              <w:jc w:val="center"/>
              <w:rPr>
                <w:rFonts w:eastAsia="Times New Roman" w:cs="Calibri"/>
                <w:sz w:val="20"/>
                <w:szCs w:val="20"/>
              </w:rPr>
            </w:pPr>
          </w:p>
        </w:tc>
      </w:tr>
      <w:tr w:rsidR="004A11F5" w:rsidRPr="004A11F5" w14:paraId="5C2BDEBF" w14:textId="77777777" w:rsidTr="0080769E">
        <w:trPr>
          <w:cantSplit/>
        </w:trPr>
        <w:tc>
          <w:tcPr>
            <w:tcW w:w="1200" w:type="dxa"/>
            <w:tcBorders>
              <w:top w:val="dotted" w:sz="4" w:space="0" w:color="auto"/>
              <w:left w:val="nil"/>
              <w:bottom w:val="single" w:sz="4" w:space="0" w:color="auto"/>
              <w:right w:val="nil"/>
            </w:tcBorders>
            <w:noWrap/>
            <w:vAlign w:val="bottom"/>
            <w:hideMark/>
          </w:tcPr>
          <w:p w14:paraId="1C8B38A7" w14:textId="18CABA75" w:rsidR="004A11F5" w:rsidRPr="004A11F5" w:rsidRDefault="004A11F5" w:rsidP="004A11F5">
            <w:pPr>
              <w:keepNext/>
              <w:keepLines w:val="0"/>
              <w:spacing w:before="0" w:after="0"/>
              <w:rPr>
                <w:rFonts w:eastAsia="Times New Roman" w:cs="Calibri"/>
                <w:b/>
                <w:bCs/>
                <w:sz w:val="20"/>
                <w:szCs w:val="20"/>
              </w:rPr>
            </w:pPr>
            <w:r w:rsidRPr="004A11F5">
              <w:rPr>
                <w:rFonts w:eastAsia="Times New Roman" w:cs="Calibri"/>
                <w:b/>
                <w:bCs/>
                <w:sz w:val="20"/>
                <w:szCs w:val="20"/>
              </w:rPr>
              <w:t>100+ km/t</w:t>
            </w:r>
          </w:p>
        </w:tc>
        <w:tc>
          <w:tcPr>
            <w:tcW w:w="2202" w:type="dxa"/>
            <w:tcBorders>
              <w:top w:val="dotted" w:sz="4" w:space="0" w:color="auto"/>
              <w:left w:val="nil"/>
              <w:bottom w:val="single" w:sz="4" w:space="0" w:color="auto"/>
              <w:right w:val="nil"/>
            </w:tcBorders>
            <w:noWrap/>
            <w:vAlign w:val="bottom"/>
            <w:hideMark/>
          </w:tcPr>
          <w:p w14:paraId="24091837" w14:textId="77777777" w:rsidR="004A11F5" w:rsidRPr="004A11F5" w:rsidRDefault="004A11F5" w:rsidP="0080769E">
            <w:pPr>
              <w:keepNext/>
              <w:keepLines w:val="0"/>
              <w:spacing w:before="0" w:after="0"/>
              <w:jc w:val="center"/>
              <w:rPr>
                <w:rFonts w:eastAsia="Times New Roman" w:cs="Calibri"/>
                <w:sz w:val="20"/>
                <w:szCs w:val="20"/>
              </w:rPr>
            </w:pPr>
          </w:p>
        </w:tc>
        <w:tc>
          <w:tcPr>
            <w:tcW w:w="2057" w:type="dxa"/>
            <w:tcBorders>
              <w:top w:val="dotted" w:sz="4" w:space="0" w:color="auto"/>
              <w:left w:val="nil"/>
              <w:bottom w:val="single" w:sz="4" w:space="0" w:color="auto"/>
              <w:right w:val="nil"/>
            </w:tcBorders>
            <w:noWrap/>
            <w:vAlign w:val="bottom"/>
            <w:hideMark/>
          </w:tcPr>
          <w:p w14:paraId="0BF2BCA4" w14:textId="1A09C145" w:rsidR="004A11F5" w:rsidRPr="004A11F5" w:rsidRDefault="004A11F5" w:rsidP="0080769E">
            <w:pPr>
              <w:keepNext/>
              <w:keepLines w:val="0"/>
              <w:spacing w:before="0" w:after="0"/>
              <w:jc w:val="center"/>
              <w:rPr>
                <w:rFonts w:eastAsia="Times New Roman" w:cs="Calibri"/>
                <w:sz w:val="20"/>
                <w:szCs w:val="20"/>
              </w:rPr>
            </w:pPr>
            <w:r w:rsidRPr="004A11F5">
              <w:rPr>
                <w:rFonts w:eastAsia="Times New Roman" w:cs="Calibri"/>
                <w:sz w:val="20"/>
                <w:szCs w:val="20"/>
              </w:rPr>
              <w:t>1</w:t>
            </w:r>
            <w:r>
              <w:rPr>
                <w:rFonts w:eastAsia="Times New Roman" w:cs="Calibri"/>
                <w:sz w:val="20"/>
                <w:szCs w:val="20"/>
              </w:rPr>
              <w:t>,</w:t>
            </w:r>
            <w:r w:rsidRPr="004A11F5">
              <w:rPr>
                <w:rFonts w:eastAsia="Times New Roman" w:cs="Calibri"/>
                <w:sz w:val="20"/>
                <w:szCs w:val="20"/>
              </w:rPr>
              <w:t>15</w:t>
            </w:r>
          </w:p>
        </w:tc>
        <w:tc>
          <w:tcPr>
            <w:tcW w:w="2275" w:type="dxa"/>
            <w:tcBorders>
              <w:top w:val="dotted" w:sz="4" w:space="0" w:color="auto"/>
              <w:left w:val="nil"/>
              <w:bottom w:val="single" w:sz="4" w:space="0" w:color="auto"/>
              <w:right w:val="nil"/>
            </w:tcBorders>
            <w:noWrap/>
            <w:vAlign w:val="bottom"/>
            <w:hideMark/>
          </w:tcPr>
          <w:p w14:paraId="7A3B9E11" w14:textId="77777777" w:rsidR="004A11F5" w:rsidRPr="004A11F5" w:rsidRDefault="004A11F5" w:rsidP="0080769E">
            <w:pPr>
              <w:keepNext/>
              <w:keepLines w:val="0"/>
              <w:spacing w:before="0" w:after="0"/>
              <w:jc w:val="center"/>
              <w:rPr>
                <w:rFonts w:eastAsia="Times New Roman" w:cs="Calibri"/>
                <w:sz w:val="20"/>
                <w:szCs w:val="20"/>
              </w:rPr>
            </w:pPr>
          </w:p>
        </w:tc>
      </w:tr>
    </w:tbl>
    <w:p w14:paraId="1F1E227A" w14:textId="77777777" w:rsidR="00202C94" w:rsidRDefault="00202C94" w:rsidP="00F110C8"/>
    <w:p w14:paraId="0CBE7A97" w14:textId="3BF302BE" w:rsidR="00F110C8" w:rsidRPr="0067422F" w:rsidRDefault="00F110C8" w:rsidP="00F110C8">
      <w:r>
        <w:t xml:space="preserve">På grunn av sammenhengen mellom fartsgrense og risiko kan separat sykkelinfrastruktur (f.eks. sykkelveger) ha større </w:t>
      </w:r>
      <w:proofErr w:type="spellStart"/>
      <w:r>
        <w:t>ulykkesreduserende</w:t>
      </w:r>
      <w:proofErr w:type="spellEnd"/>
      <w:r>
        <w:t xml:space="preserve"> effekt ved høye</w:t>
      </w:r>
      <w:r w:rsidRPr="0067422F">
        <w:t>re fartsgrenser. Dette er f.eks. vist i en studie fra USA (</w:t>
      </w:r>
      <w:bookmarkStart w:id="18" w:name="_Hlk198215567"/>
      <w:proofErr w:type="spellStart"/>
      <w:r w:rsidRPr="0067422F">
        <w:t>Petritsch</w:t>
      </w:r>
      <w:proofErr w:type="spellEnd"/>
      <w:r w:rsidRPr="0067422F">
        <w:t xml:space="preserve"> et al. 2006</w:t>
      </w:r>
      <w:bookmarkEnd w:id="18"/>
      <w:r w:rsidRPr="0067422F">
        <w:t>) hvor «</w:t>
      </w:r>
      <w:proofErr w:type="spellStart"/>
      <w:r w:rsidRPr="0067422F">
        <w:t>sidepaths</w:t>
      </w:r>
      <w:proofErr w:type="spellEnd"/>
      <w:r w:rsidRPr="0067422F">
        <w:t xml:space="preserve">» </w:t>
      </w:r>
      <w:r>
        <w:t>(</w:t>
      </w:r>
      <w:r w:rsidRPr="00D642EA">
        <w:t>omtrent som norsk GS-veg</w:t>
      </w:r>
      <w:r>
        <w:t xml:space="preserve">) </w:t>
      </w:r>
      <w:r w:rsidRPr="0067422F">
        <w:t xml:space="preserve">har større </w:t>
      </w:r>
      <w:proofErr w:type="spellStart"/>
      <w:r w:rsidRPr="0067422F">
        <w:t>ulykkesreduserende</w:t>
      </w:r>
      <w:proofErr w:type="spellEnd"/>
      <w:r w:rsidRPr="0067422F">
        <w:t xml:space="preserve"> effekt på veger med høyere fartsgrense.</w:t>
      </w:r>
      <w:r>
        <w:t xml:space="preserve"> Omvendt vil dette bety at separat sykkelinfrastruktur kan forventes å ha mindre </w:t>
      </w:r>
      <w:r w:rsidR="003C635E">
        <w:t>trafikksikkerhets</w:t>
      </w:r>
      <w:r>
        <w:t>effekt på veger med lav fart/-</w:t>
      </w:r>
      <w:proofErr w:type="spellStart"/>
      <w:r>
        <w:t>sgrense</w:t>
      </w:r>
      <w:proofErr w:type="spellEnd"/>
      <w:r>
        <w:t xml:space="preserve">. </w:t>
      </w:r>
    </w:p>
    <w:p w14:paraId="08BB7A6D" w14:textId="77237547" w:rsidR="009F66DA" w:rsidRDefault="00857DEC" w:rsidP="009F66DA">
      <w:r w:rsidRPr="001C408C">
        <w:t xml:space="preserve">Ifølge </w:t>
      </w:r>
      <w:bookmarkStart w:id="19" w:name="_Hlk198215572"/>
      <w:proofErr w:type="spellStart"/>
      <w:r w:rsidRPr="001C408C">
        <w:t>Phuksuksakul</w:t>
      </w:r>
      <w:proofErr w:type="spellEnd"/>
      <w:r w:rsidRPr="001C408C">
        <w:t xml:space="preserve"> et al. </w:t>
      </w:r>
      <w:r>
        <w:t>(2024</w:t>
      </w:r>
      <w:bookmarkEnd w:id="19"/>
      <w:r>
        <w:t>) kunne antall dødsulykker med sykkel i byområder i Australia reduseres med 76 prosent dersom man ville innføre fartsgrense 30-40 km/t på alle veger som i dag har fartsgrense 50-60 km/t (andre virkninger er da ikke tatt hensyn til som f.eks. endringer i transportmiddelvalg</w:t>
      </w:r>
      <w:r w:rsidR="000A22E3">
        <w:t xml:space="preserve">). </w:t>
      </w:r>
    </w:p>
    <w:p w14:paraId="323805EC" w14:textId="7197CA81" w:rsidR="00EE1921" w:rsidRDefault="00EE1921" w:rsidP="00EE1921">
      <w:pPr>
        <w:pStyle w:val="Overskrift3"/>
      </w:pPr>
      <w:r>
        <w:t>Lokalveger vs. hovedveger</w:t>
      </w:r>
    </w:p>
    <w:p w14:paraId="063CCB41" w14:textId="54E36E55" w:rsidR="00AB7198" w:rsidRDefault="00AB7198" w:rsidP="00AB7198">
      <w:bookmarkStart w:id="20" w:name="_Hlk198215578"/>
      <w:proofErr w:type="spellStart"/>
      <w:r w:rsidRPr="00EC25D3">
        <w:t>Teschke</w:t>
      </w:r>
      <w:proofErr w:type="spellEnd"/>
      <w:r w:rsidRPr="00EC25D3">
        <w:t xml:space="preserve"> et al., 2012 (Canada</w:t>
      </w:r>
      <w:bookmarkEnd w:id="20"/>
      <w:r w:rsidRPr="00EC25D3">
        <w:t>)</w:t>
      </w:r>
      <w:r w:rsidR="00EC25D3" w:rsidRPr="00EC25D3">
        <w:t xml:space="preserve"> viser at syklister har lavere ulykkesrisiko på lokalveger </w:t>
      </w:r>
      <w:r w:rsidR="00EC25D3">
        <w:t xml:space="preserve">uten sykkeltilrettelegging </w:t>
      </w:r>
      <w:r w:rsidR="00EC25D3" w:rsidRPr="00EC25D3">
        <w:t>enn på h</w:t>
      </w:r>
      <w:r w:rsidR="00EC25D3">
        <w:t xml:space="preserve">ovedveger uten sykkeltilrettelegging og med gateparkering (-49 prosent [-69; -4]). På lokalveger som inngår i en offisiell sykkelrute, er resultatet nesten det samme. </w:t>
      </w:r>
      <w:r w:rsidR="006A44FB">
        <w:t>Lokalveger har som regel mindre trafikk, lavere fartsgrenser og generelt lavere standard enn hovedveger.</w:t>
      </w:r>
    </w:p>
    <w:p w14:paraId="6BF4984E" w14:textId="74F6B0EA" w:rsidR="00B30437" w:rsidRPr="00EC25D3" w:rsidRDefault="00B30437" w:rsidP="00AB7198">
      <w:r w:rsidRPr="00B30437">
        <w:t>En amerikansk studie (</w:t>
      </w:r>
      <w:bookmarkStart w:id="21" w:name="_Hlk198216171"/>
      <w:proofErr w:type="spellStart"/>
      <w:r w:rsidRPr="00B30437">
        <w:t>Minikel</w:t>
      </w:r>
      <w:proofErr w:type="spellEnd"/>
      <w:r w:rsidRPr="00B30437">
        <w:t>, 2012</w:t>
      </w:r>
      <w:bookmarkEnd w:id="21"/>
      <w:r w:rsidRPr="00B30437">
        <w:t>) viser at syklister har langt lavere risiko på såkalte «</w:t>
      </w:r>
      <w:proofErr w:type="spellStart"/>
      <w:r w:rsidRPr="00B30437">
        <w:t>bicycle-boulevards</w:t>
      </w:r>
      <w:proofErr w:type="spellEnd"/>
      <w:r w:rsidRPr="00B30437">
        <w:t xml:space="preserve">» (sidegater med fartsreduserende tiltak for motorkjøretøy og forbedringer for syklister) enn på parallelle hovedveger (-67prosent [-75; -58]). Dette kan ikke tolkes som en effekt av sykkelgater da sykkelgatene ikke er sammenlignet med veger som kunne ha vært bygd om til sykkelgate. </w:t>
      </w:r>
    </w:p>
    <w:p w14:paraId="3A07873C" w14:textId="270505F6" w:rsidR="00857DEC" w:rsidRDefault="00857DEC" w:rsidP="005F1ADE">
      <w:pPr>
        <w:pStyle w:val="Overskrift3"/>
      </w:pPr>
      <w:r>
        <w:lastRenderedPageBreak/>
        <w:t>Kurver</w:t>
      </w:r>
    </w:p>
    <w:p w14:paraId="6ADA0582" w14:textId="2B810A4E" w:rsidR="00857DEC" w:rsidRPr="00857DEC" w:rsidRDefault="00857DEC" w:rsidP="00857DEC">
      <w:r>
        <w:t>Sykkelulykker er i gjennomsnitt mer alvorlige i kurver enn på rette strekninger (</w:t>
      </w:r>
      <w:proofErr w:type="spellStart"/>
      <w:r w:rsidRPr="00857DEC">
        <w:t>Phuksuksakul</w:t>
      </w:r>
      <w:proofErr w:type="spellEnd"/>
      <w:r w:rsidRPr="00857DEC">
        <w:t xml:space="preserve"> et al.</w:t>
      </w:r>
      <w:r>
        <w:t xml:space="preserve">, 2024). </w:t>
      </w:r>
    </w:p>
    <w:p w14:paraId="44D464A8" w14:textId="73164FFD" w:rsidR="005F1ADE" w:rsidRPr="00CF1CAB" w:rsidRDefault="005F1ADE" w:rsidP="005F1ADE">
      <w:pPr>
        <w:pStyle w:val="Overskrift3"/>
      </w:pPr>
      <w:r>
        <w:t>Fjerning av kantparkering (avsnitt 3.2 i V122)</w:t>
      </w:r>
    </w:p>
    <w:p w14:paraId="06F22923" w14:textId="5BBF7DE7" w:rsidR="005F1ADE" w:rsidRDefault="00BE30CB" w:rsidP="005F1ADE">
      <w:r w:rsidRPr="003C43A7">
        <w:t xml:space="preserve">Gateparkering øker </w:t>
      </w:r>
      <w:r w:rsidR="005F1ADE">
        <w:t xml:space="preserve">som regel </w:t>
      </w:r>
      <w:r w:rsidRPr="003C43A7">
        <w:t>risikoen for sykkelulykker</w:t>
      </w:r>
      <w:r w:rsidR="005F1ADE">
        <w:t xml:space="preserve"> på strekninger, men det kan redusere risikoen i kryss. Sammenhengen mellom gateparkering og sykkelulykker er nærmere beskrevet i </w:t>
      </w:r>
      <w:hyperlink r:id="rId23" w:history="1">
        <w:r w:rsidR="005F1ADE" w:rsidRPr="005F1ADE">
          <w:rPr>
            <w:rStyle w:val="Hyperkobling"/>
          </w:rPr>
          <w:t>kapittel 3.15</w:t>
        </w:r>
      </w:hyperlink>
      <w:r w:rsidR="005F1ADE">
        <w:t xml:space="preserve">. </w:t>
      </w:r>
    </w:p>
    <w:p w14:paraId="6065ADF5" w14:textId="7D13AE10" w:rsidR="005F1ADE" w:rsidRPr="00A756A9" w:rsidRDefault="00770BCD" w:rsidP="005F1ADE">
      <w:pPr>
        <w:pStyle w:val="Overskrift3"/>
      </w:pPr>
      <w:r w:rsidRPr="00A756A9">
        <w:t xml:space="preserve">Delesymbol / </w:t>
      </w:r>
      <w:proofErr w:type="spellStart"/>
      <w:r w:rsidRPr="00A756A9">
        <w:t>s</w:t>
      </w:r>
      <w:r w:rsidR="005F1ADE" w:rsidRPr="00A756A9">
        <w:t>harrows</w:t>
      </w:r>
      <w:proofErr w:type="spellEnd"/>
      <w:r w:rsidR="005F1ADE" w:rsidRPr="00A756A9">
        <w:t xml:space="preserve"> (avsnitt 3.2 i V122)</w:t>
      </w:r>
    </w:p>
    <w:p w14:paraId="3C6A28AD" w14:textId="1EF21D92" w:rsidR="0077054E" w:rsidRDefault="00770BCD" w:rsidP="00E066AB">
      <w:pPr>
        <w:shd w:val="clear" w:color="auto" w:fill="D9D9D9" w:themeFill="background1" w:themeFillShade="D9"/>
      </w:pPr>
      <w:r>
        <w:t>D</w:t>
      </w:r>
      <w:r w:rsidRPr="00E066AB">
        <w:t xml:space="preserve">elesymbol </w:t>
      </w:r>
      <w:r>
        <w:t>(engelsk «</w:t>
      </w:r>
      <w:proofErr w:type="spellStart"/>
      <w:r>
        <w:t>s</w:t>
      </w:r>
      <w:r w:rsidR="005F1ADE" w:rsidRPr="00E066AB">
        <w:t>harrows</w:t>
      </w:r>
      <w:proofErr w:type="spellEnd"/>
      <w:r w:rsidR="0077054E" w:rsidRPr="00E066AB">
        <w:t xml:space="preserve">») </w:t>
      </w:r>
      <w:r w:rsidR="005F1ADE" w:rsidRPr="00E066AB">
        <w:t xml:space="preserve">er </w:t>
      </w:r>
      <w:r w:rsidR="0077054E" w:rsidRPr="00E066AB">
        <w:t xml:space="preserve">oppmerking i veibanen med pil og sykkelsymbol (i andre land noen ganger kun </w:t>
      </w:r>
      <w:proofErr w:type="spellStart"/>
      <w:r w:rsidR="0077054E" w:rsidRPr="00E066AB">
        <w:t>pilsymboler</w:t>
      </w:r>
      <w:proofErr w:type="spellEnd"/>
      <w:r w:rsidR="0077054E" w:rsidRPr="00E066AB">
        <w:t xml:space="preserve">). </w:t>
      </w:r>
      <w:r>
        <w:t xml:space="preserve">Delesymbol </w:t>
      </w:r>
      <w:r w:rsidR="0077054E" w:rsidRPr="00E066AB">
        <w:t>skal vise at veie</w:t>
      </w:r>
      <w:r w:rsidR="00E066AB">
        <w:t>n</w:t>
      </w:r>
      <w:r w:rsidR="0077054E" w:rsidRPr="00E066AB">
        <w:t xml:space="preserve"> skal deles mellom bilister og syklister, og de kan bl.a. brukes på sykkelruter der det ikke er separate sykkelanlegg. Krav for bruk av </w:t>
      </w:r>
      <w:r>
        <w:t>delesymbol</w:t>
      </w:r>
      <w:r w:rsidR="0077054E" w:rsidRPr="00E066AB">
        <w:t xml:space="preserve"> i Norge er beskrevet i håndbok N302 (2021). Bl.a. skal fartsgrensen ikke være høyere enn 40 km/t, ÅDT skal være under 4000, og strekningen skal ha skiltet </w:t>
      </w:r>
      <w:proofErr w:type="spellStart"/>
      <w:r w:rsidR="0077054E" w:rsidRPr="00E066AB">
        <w:t>vegvisning</w:t>
      </w:r>
      <w:proofErr w:type="spellEnd"/>
      <w:r w:rsidR="0077054E" w:rsidRPr="00E066AB">
        <w:t xml:space="preserve"> for sykkel. </w:t>
      </w:r>
    </w:p>
    <w:p w14:paraId="0C0F7243" w14:textId="7DC74415" w:rsidR="00770BCD" w:rsidRPr="00E066AB" w:rsidRDefault="00770BCD" w:rsidP="00E066AB">
      <w:pPr>
        <w:shd w:val="clear" w:color="auto" w:fill="D9D9D9" w:themeFill="background1" w:themeFillShade="D9"/>
      </w:pPr>
      <w:r>
        <w:t xml:space="preserve">Tiltaket er også beskrevet i </w:t>
      </w:r>
      <w:hyperlink r:id="rId24" w:history="1">
        <w:r w:rsidRPr="00770BCD">
          <w:rPr>
            <w:rStyle w:val="Hyperkobling"/>
          </w:rPr>
          <w:t>Tiltakskatalog for transport og miljø</w:t>
        </w:r>
      </w:hyperlink>
      <w:r>
        <w:t xml:space="preserve">. </w:t>
      </w:r>
    </w:p>
    <w:p w14:paraId="2BD9824C" w14:textId="1F4055D4" w:rsidR="00B82822" w:rsidRDefault="00B82822" w:rsidP="00B82822">
      <w:r>
        <w:t xml:space="preserve">Formål med delesymbol er </w:t>
      </w:r>
      <w:r w:rsidR="00BB34FF">
        <w:t xml:space="preserve">å få flere til å sykle i vegbanen istedenfor på fortauet, at syklister i vegbanen skal holde større avstand til </w:t>
      </w:r>
      <w:r>
        <w:t>parkerende biler</w:t>
      </w:r>
      <w:r w:rsidR="00BB34FF">
        <w:t xml:space="preserve">, samt at bilister skal ta mer hensyn til syklister i vegbanen, bl.a. under forbikjøring. </w:t>
      </w:r>
    </w:p>
    <w:p w14:paraId="20FFCF44" w14:textId="525C6B24" w:rsidR="00603E23" w:rsidRDefault="00603E23" w:rsidP="00B82822">
      <w:r>
        <w:t xml:space="preserve">De følgende studiene har undersøkt virkninger av delesymbol på sykkelulykker: </w:t>
      </w:r>
    </w:p>
    <w:p w14:paraId="5EFE4447" w14:textId="20A904B2" w:rsidR="00603E23" w:rsidRPr="002241DF" w:rsidRDefault="00603E23" w:rsidP="00603E23">
      <w:pPr>
        <w:ind w:left="426"/>
        <w:rPr>
          <w:lang w:val="da-DK"/>
        </w:rPr>
      </w:pPr>
      <w:bookmarkStart w:id="22" w:name="_Hlk198215591"/>
      <w:r w:rsidRPr="00603E23">
        <w:rPr>
          <w:lang w:val="da-DK"/>
        </w:rPr>
        <w:t>Teschke et al., 2012 (Canada)</w:t>
      </w:r>
      <w:r>
        <w:rPr>
          <w:lang w:val="da-DK"/>
        </w:rPr>
        <w:br/>
      </w:r>
      <w:r w:rsidRPr="00603E23">
        <w:rPr>
          <w:lang w:val="da-DK"/>
        </w:rPr>
        <w:t>Hamann &amp; Peek-Asa, 2013 (USA)</w:t>
      </w:r>
      <w:r>
        <w:rPr>
          <w:lang w:val="da-DK"/>
        </w:rPr>
        <w:br/>
      </w:r>
      <w:r w:rsidRPr="00603E23">
        <w:rPr>
          <w:lang w:val="da-DK"/>
        </w:rPr>
        <w:t>Wall et al., 2016 (USA)</w:t>
      </w:r>
      <w:r>
        <w:rPr>
          <w:lang w:val="da-DK"/>
        </w:rPr>
        <w:br/>
      </w:r>
      <w:r w:rsidRPr="00603E23">
        <w:rPr>
          <w:lang w:val="da-DK"/>
        </w:rPr>
        <w:t>Cicchino et al., 2020 (USA)</w:t>
      </w:r>
      <w:r>
        <w:rPr>
          <w:lang w:val="da-DK"/>
        </w:rPr>
        <w:br/>
      </w:r>
      <w:r w:rsidRPr="00603E23">
        <w:rPr>
          <w:lang w:val="da-DK"/>
        </w:rPr>
        <w:t>Guirao et al., 2023 (Spania)</w:t>
      </w:r>
      <w:r>
        <w:rPr>
          <w:lang w:val="da-DK"/>
        </w:rPr>
        <w:br/>
      </w:r>
      <w:r w:rsidRPr="00603E23">
        <w:rPr>
          <w:lang w:val="da-DK"/>
        </w:rPr>
        <w:t>Deliali et al., 2023 (USA)</w:t>
      </w:r>
      <w:r>
        <w:rPr>
          <w:lang w:val="da-DK"/>
        </w:rPr>
        <w:br/>
      </w:r>
      <w:r w:rsidRPr="002241DF">
        <w:rPr>
          <w:lang w:val="da-DK"/>
        </w:rPr>
        <w:t>Abbasi &amp; Ko, 2024 (Korea)</w:t>
      </w:r>
    </w:p>
    <w:bookmarkEnd w:id="22"/>
    <w:p w14:paraId="70284029" w14:textId="53325B0E" w:rsidR="005C6F78" w:rsidRPr="00770BCD" w:rsidRDefault="00DC65BF" w:rsidP="005C6F78">
      <w:r>
        <w:t>Sammenlagt tyder resultatene på at delesymbol reduserer antall ulykker på strekninger med 65 prosent</w:t>
      </w:r>
      <w:r w:rsidR="005C6F78">
        <w:t xml:space="preserve"> (usikkerhet: [-81; -37]). Den </w:t>
      </w:r>
      <w:proofErr w:type="spellStart"/>
      <w:r w:rsidR="005C6F78">
        <w:t>ulykkesreduserende</w:t>
      </w:r>
      <w:proofErr w:type="spellEnd"/>
      <w:r w:rsidR="005C6F78">
        <w:t xml:space="preserve"> effekten av delesymbol på strekninger </w:t>
      </w:r>
      <w:r w:rsidR="005C6F78" w:rsidRPr="00603E23">
        <w:t xml:space="preserve">kan forklares med at syklister holder større avstand fra vegkanten/parkerende biler, samt at motorkjøretøy i </w:t>
      </w:r>
      <w:r w:rsidR="005C6F78" w:rsidRPr="00770BCD">
        <w:t xml:space="preserve">gjennomsnitt holder større avstand til syklister under forbikjøringer. Slike virkninger er funnet i </w:t>
      </w:r>
      <w:proofErr w:type="spellStart"/>
      <w:r w:rsidR="005C6F78" w:rsidRPr="00770BCD">
        <w:t>atferdsstudier</w:t>
      </w:r>
      <w:proofErr w:type="spellEnd"/>
      <w:r w:rsidR="005C6F78" w:rsidRPr="00770BCD">
        <w:t xml:space="preserve"> (</w:t>
      </w:r>
      <w:bookmarkStart w:id="23" w:name="_Hlk198215599"/>
      <w:proofErr w:type="spellStart"/>
      <w:r w:rsidR="005C6F78" w:rsidRPr="00770BCD">
        <w:t>Kassim</w:t>
      </w:r>
      <w:proofErr w:type="spellEnd"/>
      <w:r w:rsidR="005C6F78" w:rsidRPr="00770BCD">
        <w:t xml:space="preserve"> et al., 2017, Canada; </w:t>
      </w:r>
      <w:proofErr w:type="spellStart"/>
      <w:r w:rsidR="005C6F78" w:rsidRPr="00770BCD">
        <w:t>Furth</w:t>
      </w:r>
      <w:proofErr w:type="spellEnd"/>
      <w:r w:rsidR="005C6F78" w:rsidRPr="00770BCD">
        <w:t xml:space="preserve"> &amp; </w:t>
      </w:r>
      <w:proofErr w:type="spellStart"/>
      <w:r w:rsidR="005C6F78" w:rsidRPr="00770BCD">
        <w:t>Dulaski</w:t>
      </w:r>
      <w:proofErr w:type="spellEnd"/>
      <w:r w:rsidR="005C6F78" w:rsidRPr="00770BCD">
        <w:t xml:space="preserve">, 2010; </w:t>
      </w:r>
      <w:proofErr w:type="spellStart"/>
      <w:r w:rsidR="005C6F78" w:rsidRPr="00770BCD">
        <w:t>Ruf</w:t>
      </w:r>
      <w:proofErr w:type="spellEnd"/>
      <w:r w:rsidR="005C6F78" w:rsidRPr="00770BCD">
        <w:t xml:space="preserve"> et al., 2023)</w:t>
      </w:r>
      <w:r w:rsidR="005C6F78">
        <w:t xml:space="preserve">. </w:t>
      </w:r>
      <w:bookmarkEnd w:id="23"/>
    </w:p>
    <w:p w14:paraId="4DDC1328" w14:textId="77777777" w:rsidR="005C6F78" w:rsidRDefault="005C6F78" w:rsidP="005C6F78">
      <w:r>
        <w:t>S</w:t>
      </w:r>
      <w:r w:rsidRPr="00770BCD">
        <w:t>tudie</w:t>
      </w:r>
      <w:r>
        <w:t>r</w:t>
      </w:r>
      <w:r w:rsidRPr="00770BCD">
        <w:t xml:space="preserve"> med </w:t>
      </w:r>
      <w:proofErr w:type="spellStart"/>
      <w:r w:rsidRPr="00770BCD">
        <w:t>atferdsobservasjoner</w:t>
      </w:r>
      <w:proofErr w:type="spellEnd"/>
      <w:r w:rsidRPr="00770BCD">
        <w:t xml:space="preserve"> og intervjuer </w:t>
      </w:r>
      <w:r>
        <w:t xml:space="preserve">viser at </w:t>
      </w:r>
      <w:r w:rsidRPr="00770BCD">
        <w:t>delesymbol fører til at flere sykler i vegbanen</w:t>
      </w:r>
      <w:r>
        <w:t xml:space="preserve">, </w:t>
      </w:r>
      <w:r w:rsidRPr="00770BCD">
        <w:t>at både gående og syklende opplever tiltaket som en forbedring</w:t>
      </w:r>
      <w:r>
        <w:t xml:space="preserve"> og at syklistene føler seg tryggere (</w:t>
      </w:r>
      <w:proofErr w:type="spellStart"/>
      <w:r>
        <w:t>Ruf</w:t>
      </w:r>
      <w:proofErr w:type="spellEnd"/>
      <w:r>
        <w:t xml:space="preserve"> et al., 2023; Fyhri et al., 2020)</w:t>
      </w:r>
      <w:r w:rsidRPr="00770BCD">
        <w:t xml:space="preserve">. </w:t>
      </w:r>
      <w:r>
        <w:t xml:space="preserve">Bilister opplever at de i større grad blir hindret av andre trafikanter </w:t>
      </w:r>
      <w:r w:rsidRPr="00770BCD">
        <w:t>(</w:t>
      </w:r>
      <w:bookmarkStart w:id="24" w:name="_Hlk198215612"/>
      <w:r w:rsidRPr="00770BCD">
        <w:t>Fyhri et al., 2020</w:t>
      </w:r>
      <w:bookmarkEnd w:id="24"/>
      <w:r w:rsidRPr="00770BCD">
        <w:t>)</w:t>
      </w:r>
      <w:r>
        <w:t>.</w:t>
      </w:r>
    </w:p>
    <w:p w14:paraId="2AD2026C" w14:textId="764BD711" w:rsidR="00603E23" w:rsidRDefault="005C6F78" w:rsidP="005C6F78">
      <w:r>
        <w:t xml:space="preserve">Én studie har undersøkt virkninger i signalregulerte kryss (hvor det i Norge ikke er tillatt å merke opp delesymboler), og her øker antall sykkelulykker med </w:t>
      </w:r>
      <w:r w:rsidR="00603E23" w:rsidRPr="005C6F78">
        <w:t>537</w:t>
      </w:r>
      <w:r w:rsidR="00603E23" w:rsidRPr="008D007E">
        <w:t xml:space="preserve"> prosent [-48; +7703]</w:t>
      </w:r>
      <w:r>
        <w:t xml:space="preserve"> når delesymboler er oppmerket på hovedvegen (Cicchino et al., 2020). Studier hvor det ikke er spesifisert hvorvidt delesymboler er oppmerket kun på strekninger eller også i kryss, og hvor både streknings- og kryssulykker inngår i analysene, viser sammenlagt en ulykkesreduksjon på 25 prosent </w:t>
      </w:r>
      <w:r w:rsidR="00603E23">
        <w:t>[-55; +24].</w:t>
      </w:r>
      <w:r>
        <w:t xml:space="preserve"> At denne effekten er mindre enn den som er funnet på strekninger, tyder også på at delesymboler har bedre effekt på strekninger. I Norge er det uansett ikke aktuelt å merke opp delesymboler i kryss. </w:t>
      </w:r>
    </w:p>
    <w:p w14:paraId="78A5F57F" w14:textId="7F263FB0" w:rsidR="0077054E" w:rsidRPr="005F1ADE" w:rsidRDefault="0077054E" w:rsidP="0077054E">
      <w:pPr>
        <w:pStyle w:val="Overskrift3"/>
      </w:pPr>
      <w:r w:rsidRPr="005F1ADE">
        <w:lastRenderedPageBreak/>
        <w:t>Utvidet vegskulder</w:t>
      </w:r>
      <w:r>
        <w:t xml:space="preserve"> (avsnitt 3.2 i V122)</w:t>
      </w:r>
    </w:p>
    <w:p w14:paraId="3978CBA4" w14:textId="77777777" w:rsidR="005B6473" w:rsidRPr="00E066AB" w:rsidRDefault="000669DF" w:rsidP="00E066AB">
      <w:pPr>
        <w:shd w:val="clear" w:color="auto" w:fill="D9D9D9" w:themeFill="background1" w:themeFillShade="D9"/>
      </w:pPr>
      <w:r w:rsidRPr="00E066AB">
        <w:t xml:space="preserve">Som et alternativ til gang- og sykkelveg kan det på noen strekninger utenfor tettbygd strøk være aktuelt å utvide vegskulderen </w:t>
      </w:r>
      <w:r w:rsidR="0077054E" w:rsidRPr="00E066AB">
        <w:t>for å gi mer plass for syklende (og ev. gående)</w:t>
      </w:r>
      <w:r w:rsidRPr="00E066AB">
        <w:t xml:space="preserve">. </w:t>
      </w:r>
    </w:p>
    <w:p w14:paraId="1E7664B9" w14:textId="785DC926" w:rsidR="00BE30CB" w:rsidRDefault="00BE30CB" w:rsidP="006F1161">
      <w:pPr>
        <w:pStyle w:val="Overskrift2"/>
        <w:rPr>
          <w:rFonts w:eastAsiaTheme="minorHAnsi"/>
        </w:rPr>
      </w:pPr>
      <w:bookmarkStart w:id="25" w:name="_Toc206753740"/>
      <w:r w:rsidRPr="00CF1CAB">
        <w:rPr>
          <w:rFonts w:eastAsiaTheme="minorHAnsi"/>
        </w:rPr>
        <w:t>Sykkelfelt</w:t>
      </w:r>
      <w:r>
        <w:rPr>
          <w:rFonts w:eastAsiaTheme="minorHAnsi"/>
        </w:rPr>
        <w:t xml:space="preserve"> (avsnitt 3.3. i V122)</w:t>
      </w:r>
      <w:bookmarkEnd w:id="25"/>
    </w:p>
    <w:tbl>
      <w:tblPr>
        <w:tblW w:w="9072" w:type="dxa"/>
        <w:shd w:val="clear" w:color="auto" w:fill="D9D9D9" w:themeFill="background1" w:themeFillShade="D9"/>
        <w:tblCellMar>
          <w:left w:w="70" w:type="dxa"/>
          <w:right w:w="70" w:type="dxa"/>
        </w:tblCellMar>
        <w:tblLook w:val="04A0" w:firstRow="1" w:lastRow="0" w:firstColumn="1" w:lastColumn="0" w:noHBand="0" w:noVBand="1"/>
      </w:tblPr>
      <w:tblGrid>
        <w:gridCol w:w="9072"/>
      </w:tblGrid>
      <w:tr w:rsidR="00DE369F" w:rsidRPr="00DE369F" w14:paraId="4ADA244A" w14:textId="77777777" w:rsidTr="00DE369F">
        <w:trPr>
          <w:trHeight w:val="300"/>
        </w:trPr>
        <w:tc>
          <w:tcPr>
            <w:tcW w:w="9072" w:type="dxa"/>
            <w:tcBorders>
              <w:top w:val="nil"/>
              <w:left w:val="nil"/>
              <w:bottom w:val="nil"/>
              <w:right w:val="nil"/>
            </w:tcBorders>
            <w:shd w:val="clear" w:color="auto" w:fill="D9D9D9" w:themeFill="background1" w:themeFillShade="D9"/>
            <w:noWrap/>
            <w:vAlign w:val="bottom"/>
            <w:hideMark/>
          </w:tcPr>
          <w:p w14:paraId="0C1D8E80" w14:textId="77777777" w:rsidR="00DE369F" w:rsidRDefault="00DE369F" w:rsidP="00DE369F">
            <w:pPr>
              <w:shd w:val="clear" w:color="auto" w:fill="D9D9D9" w:themeFill="background1" w:themeFillShade="D9"/>
            </w:pPr>
            <w:r w:rsidRPr="005B6473">
              <w:t xml:space="preserve">Et sykkelfelt er et kjørefelt i kjørebanen som ved offentlig trafikkskilt og vegoppmerking er bestemt for syklende. </w:t>
            </w:r>
            <w:r w:rsidRPr="00E066AB">
              <w:t>Syklende i sykkelfelt må rette seg etter trafikkreglene for motorkjøretøy.</w:t>
            </w:r>
          </w:p>
          <w:p w14:paraId="64F07A26" w14:textId="77777777" w:rsidR="00DE369F" w:rsidRDefault="00DE369F" w:rsidP="00DE369F">
            <w:pPr>
              <w:shd w:val="clear" w:color="auto" w:fill="D9D9D9" w:themeFill="background1" w:themeFillShade="D9"/>
            </w:pPr>
            <w:r>
              <w:t xml:space="preserve">Sykkelfelt er i </w:t>
            </w:r>
            <w:proofErr w:type="spellStart"/>
            <w:r>
              <w:t>hht</w:t>
            </w:r>
            <w:proofErr w:type="spellEnd"/>
            <w:r>
              <w:t xml:space="preserve">. V122 aktuelt i gater hvor fartsgrensen er 50 km/t eller lavere og ÅDT er under 15000.  Krav til utforming, oppmerking, skilting og forutsetninger mht. trafikkmengde, fartsgrense og vegbredde er nærmere beskrevet i V122 og i håndbøkene N100, N300 (Skiltnormalen) og N302 (Vegoppmerking). V122 beskriver også spesifikke utformingskrav for sykkelfelt på strekninger med </w:t>
            </w:r>
          </w:p>
          <w:p w14:paraId="788ADFBD" w14:textId="77777777" w:rsidR="00DE369F" w:rsidRDefault="00DE369F">
            <w:pPr>
              <w:pStyle w:val="Listeavsnitt"/>
              <w:numPr>
                <w:ilvl w:val="0"/>
                <w:numId w:val="5"/>
              </w:numPr>
              <w:shd w:val="clear" w:color="auto" w:fill="D9D9D9" w:themeFill="background1" w:themeFillShade="D9"/>
            </w:pPr>
            <w:r>
              <w:t>Busslomme (avsnitt 3.3.1 i V122)</w:t>
            </w:r>
          </w:p>
          <w:p w14:paraId="02B650FF" w14:textId="77777777" w:rsidR="00DE369F" w:rsidRDefault="00DE369F">
            <w:pPr>
              <w:pStyle w:val="Listeavsnitt"/>
              <w:numPr>
                <w:ilvl w:val="0"/>
                <w:numId w:val="5"/>
              </w:numPr>
              <w:shd w:val="clear" w:color="auto" w:fill="D9D9D9" w:themeFill="background1" w:themeFillShade="D9"/>
            </w:pPr>
            <w:r>
              <w:t>Kantstopp for buss (avsnitt 3.3.2 i V122)</w:t>
            </w:r>
          </w:p>
          <w:p w14:paraId="274DF984" w14:textId="77777777" w:rsidR="00DE369F" w:rsidRDefault="00DE369F">
            <w:pPr>
              <w:pStyle w:val="Listeavsnitt"/>
              <w:numPr>
                <w:ilvl w:val="0"/>
                <w:numId w:val="5"/>
              </w:numPr>
              <w:shd w:val="clear" w:color="auto" w:fill="D9D9D9" w:themeFill="background1" w:themeFillShade="D9"/>
            </w:pPr>
            <w:r>
              <w:t>Kollektivfelt (avsnitt 3.3.3 i V122)</w:t>
            </w:r>
          </w:p>
          <w:p w14:paraId="7569FD3E" w14:textId="65A38422" w:rsidR="00DE369F" w:rsidRDefault="00DE369F">
            <w:pPr>
              <w:pStyle w:val="Listeavsnitt"/>
              <w:numPr>
                <w:ilvl w:val="0"/>
                <w:numId w:val="5"/>
              </w:numPr>
              <w:shd w:val="clear" w:color="auto" w:fill="D9D9D9" w:themeFill="background1" w:themeFillShade="D9"/>
            </w:pPr>
            <w:r>
              <w:t xml:space="preserve">Kantsteinsparkering (avsnitt 3.3.4 i V122)   </w:t>
            </w:r>
          </w:p>
          <w:p w14:paraId="7E251E84" w14:textId="77777777" w:rsidR="00DE369F" w:rsidRDefault="00DE369F">
            <w:pPr>
              <w:pStyle w:val="Listeavsnitt"/>
              <w:numPr>
                <w:ilvl w:val="0"/>
                <w:numId w:val="5"/>
              </w:numPr>
              <w:shd w:val="clear" w:color="auto" w:fill="D9D9D9" w:themeFill="background1" w:themeFillShade="D9"/>
            </w:pPr>
            <w:r>
              <w:t>Varelevering (avsnitt 3.3.5 i V122)</w:t>
            </w:r>
          </w:p>
          <w:p w14:paraId="5C6286CC" w14:textId="77777777" w:rsidR="00DE369F" w:rsidRPr="00DE369F" w:rsidRDefault="00DE369F" w:rsidP="00DE369F">
            <w:pPr>
              <w:keepLines w:val="0"/>
              <w:spacing w:before="0" w:after="0"/>
              <w:rPr>
                <w:rFonts w:ascii="Times New Roman" w:eastAsia="Times New Roman" w:hAnsi="Times New Roman" w:cs="Times New Roman"/>
                <w:sz w:val="24"/>
                <w:szCs w:val="24"/>
              </w:rPr>
            </w:pPr>
          </w:p>
        </w:tc>
      </w:tr>
    </w:tbl>
    <w:p w14:paraId="4F02C07B" w14:textId="6F9BD187" w:rsidR="000B3561" w:rsidRDefault="00DE369F" w:rsidP="000B3561">
      <w:pPr>
        <w:pStyle w:val="Overskrift3"/>
      </w:pPr>
      <w:r>
        <w:t xml:space="preserve">Sykkelfelt vs. blandet trafikk – virkning på </w:t>
      </w:r>
      <w:r w:rsidR="000B3561">
        <w:t>ulykker</w:t>
      </w:r>
    </w:p>
    <w:p w14:paraId="6BD13B44" w14:textId="6E1A2366" w:rsidR="00BE30CB" w:rsidRPr="003C43A7" w:rsidRDefault="00A572E0" w:rsidP="00A572E0">
      <w:r>
        <w:t xml:space="preserve">De følgende studiene har </w:t>
      </w:r>
      <w:r w:rsidR="00423B0D">
        <w:t xml:space="preserve">sammenlignet ulykkesrisikoen blant syklister mellom veger med </w:t>
      </w:r>
      <w:r w:rsidR="00CE7A96">
        <w:t xml:space="preserve">sykkelfelt </w:t>
      </w:r>
      <w:r w:rsidR="00423B0D">
        <w:t>og blandet trafikk</w:t>
      </w:r>
      <w:r>
        <w:t>:</w:t>
      </w:r>
    </w:p>
    <w:p w14:paraId="54DB7EB6" w14:textId="5750D8E6" w:rsidR="00BE30CB" w:rsidRPr="00354628" w:rsidRDefault="00423B0D" w:rsidP="00423B0D">
      <w:pPr>
        <w:ind w:left="567"/>
        <w:rPr>
          <w:lang w:val="da-DK"/>
        </w:rPr>
      </w:pPr>
      <w:bookmarkStart w:id="26" w:name="_Hlk198215631"/>
      <w:r w:rsidRPr="00423B0D">
        <w:rPr>
          <w:lang w:val="da-DK"/>
        </w:rPr>
        <w:t>Jensen, 2006A (Danmark)</w:t>
      </w:r>
      <w:r w:rsidRPr="00423B0D">
        <w:rPr>
          <w:lang w:val="da-DK"/>
        </w:rPr>
        <w:br/>
        <w:t>Turner et al., 2009 (New Zealand)</w:t>
      </w:r>
      <w:r w:rsidRPr="00423B0D">
        <w:rPr>
          <w:lang w:val="da-DK"/>
        </w:rPr>
        <w:br/>
        <w:t>Turner et al., 2011 (Australia/New Zealand)</w:t>
      </w:r>
      <w:r w:rsidRPr="00423B0D">
        <w:rPr>
          <w:lang w:val="da-DK"/>
        </w:rPr>
        <w:br/>
        <w:t>Teschke et al., 2012 (Canada)</w:t>
      </w:r>
      <w:r w:rsidRPr="00423B0D">
        <w:rPr>
          <w:lang w:val="da-DK"/>
        </w:rPr>
        <w:br/>
        <w:t>Chen et al., 2013 (USA)</w:t>
      </w:r>
      <w:r w:rsidRPr="00423B0D">
        <w:rPr>
          <w:lang w:val="da-DK"/>
        </w:rPr>
        <w:br/>
        <w:t>Abdel-Aty et al., 2014 (USA)</w:t>
      </w:r>
      <w:r w:rsidRPr="00423B0D">
        <w:rPr>
          <w:lang w:val="da-DK"/>
        </w:rPr>
        <w:br/>
        <w:t>de Rome et al., 2014 (Australia)</w:t>
      </w:r>
      <w:r w:rsidRPr="00423B0D">
        <w:rPr>
          <w:lang w:val="da-DK"/>
        </w:rPr>
        <w:br/>
        <w:t>Park et al., 2015 (USA)</w:t>
      </w:r>
      <w:r w:rsidRPr="00423B0D">
        <w:rPr>
          <w:lang w:val="da-DK"/>
        </w:rPr>
        <w:br/>
        <w:t>Pulugurtha &amp; Thakur, 2015 (USA)</w:t>
      </w:r>
      <w:r w:rsidR="00354628">
        <w:rPr>
          <w:lang w:val="da-DK"/>
        </w:rPr>
        <w:br/>
      </w:r>
      <w:r w:rsidR="00354628" w:rsidRPr="00354628">
        <w:rPr>
          <w:lang w:val="da-DK"/>
        </w:rPr>
        <w:t>Poulos et al., 2015 (Australia)</w:t>
      </w:r>
      <w:r w:rsidRPr="00423B0D">
        <w:rPr>
          <w:lang w:val="da-DK"/>
        </w:rPr>
        <w:br/>
        <w:t>Wall et al., 2016 (USA)</w:t>
      </w:r>
      <w:r w:rsidRPr="00423B0D">
        <w:rPr>
          <w:lang w:val="da-DK"/>
        </w:rPr>
        <w:br/>
        <w:t>Bhatia et al., 2016 (USA)</w:t>
      </w:r>
      <w:r w:rsidRPr="00423B0D">
        <w:rPr>
          <w:lang w:val="da-DK"/>
        </w:rPr>
        <w:br/>
        <w:t>Lim et al., 2016 (Korea)</w:t>
      </w:r>
      <w:r w:rsidRPr="00423B0D">
        <w:rPr>
          <w:lang w:val="da-DK"/>
        </w:rPr>
        <w:br/>
        <w:t>Saad et al., 2019 (USA)</w:t>
      </w:r>
      <w:r w:rsidRPr="00423B0D">
        <w:rPr>
          <w:lang w:val="da-DK"/>
        </w:rPr>
        <w:br/>
        <w:t>Cicchino et al., 2020 (USA)</w:t>
      </w:r>
      <w:r w:rsidRPr="00423B0D">
        <w:rPr>
          <w:lang w:val="da-DK"/>
        </w:rPr>
        <w:br/>
        <w:t>Dadashova et al., 2022 (USA)</w:t>
      </w:r>
      <w:r w:rsidRPr="00423B0D">
        <w:rPr>
          <w:lang w:val="da-DK"/>
        </w:rPr>
        <w:br/>
        <w:t>Guirao et al., 2023 (Spania)</w:t>
      </w:r>
      <w:r w:rsidRPr="00423B0D">
        <w:rPr>
          <w:lang w:val="da-DK"/>
        </w:rPr>
        <w:br/>
        <w:t>Deliali et al., 2023 (USA)</w:t>
      </w:r>
      <w:r w:rsidRPr="00423B0D">
        <w:rPr>
          <w:lang w:val="da-DK"/>
        </w:rPr>
        <w:br/>
      </w:r>
      <w:r w:rsidRPr="00354628">
        <w:rPr>
          <w:lang w:val="da-DK"/>
        </w:rPr>
        <w:t>Abbasi &amp; Ko, 2024 (Korea)</w:t>
      </w:r>
    </w:p>
    <w:bookmarkEnd w:id="26"/>
    <w:p w14:paraId="7BC9B520" w14:textId="69BAE54A" w:rsidR="00A572E0" w:rsidRPr="00A572E0" w:rsidRDefault="00F110C8" w:rsidP="00A572E0">
      <w:r>
        <w:t>Det er kun tatt med studier hvor forskjeller i antall syklister på veger med og uten sykkelfelt ikke har påvirket resultatene</w:t>
      </w:r>
      <w:r w:rsidR="00A572E0">
        <w:t>. Studier som ikke har kontrollert for antall syklister finner ofte flere ulykker på veger med sykkelf</w:t>
      </w:r>
      <w:r w:rsidR="00A572E0" w:rsidRPr="00A572E0">
        <w:t>elt enn på andre veger, da slike veger som regel har mer sykkeltrafikk. F.eks. viser Morrison et al. (2019, Australia)</w:t>
      </w:r>
      <w:r w:rsidR="00A572E0">
        <w:t xml:space="preserve"> at veger med sykkelfelt i gjennomsnitt har over fem ganger så mange sykkelulykker enn veger uten sykkelfelt. </w:t>
      </w:r>
    </w:p>
    <w:p w14:paraId="0398F240" w14:textId="4152B8E1" w:rsidR="00BE30CB" w:rsidRPr="003C43A7" w:rsidRDefault="00423B0D" w:rsidP="00423B0D">
      <w:r>
        <w:t>S</w:t>
      </w:r>
      <w:r w:rsidR="00BE30CB" w:rsidRPr="003C43A7">
        <w:t>ammenlagte resultate</w:t>
      </w:r>
      <w:r>
        <w:t>r</w:t>
      </w:r>
      <w:r w:rsidR="00BE30CB" w:rsidRPr="003C43A7">
        <w:t xml:space="preserve"> er </w:t>
      </w:r>
      <w:r>
        <w:t xml:space="preserve">vist </w:t>
      </w:r>
      <w:r w:rsidR="00BE30CB" w:rsidRPr="003C43A7">
        <w:t>i tabell 1.1.</w:t>
      </w:r>
      <w:r w:rsidR="008E35EB">
        <w:t>2</w:t>
      </w:r>
      <w:r w:rsidR="00BE30CB" w:rsidRPr="003C43A7">
        <w:t>.</w:t>
      </w:r>
    </w:p>
    <w:p w14:paraId="7D5DBC7D" w14:textId="09F37235" w:rsidR="00423B0D" w:rsidRPr="00E06C43" w:rsidRDefault="00423B0D" w:rsidP="00423B0D">
      <w:pPr>
        <w:keepNext/>
        <w:rPr>
          <w:i/>
          <w:iCs/>
        </w:rPr>
      </w:pPr>
      <w:r w:rsidRPr="00E06C43">
        <w:rPr>
          <w:i/>
          <w:iCs/>
        </w:rPr>
        <w:lastRenderedPageBreak/>
        <w:t>Tabell 1.1.</w:t>
      </w:r>
      <w:r w:rsidR="008E35EB">
        <w:rPr>
          <w:i/>
          <w:iCs/>
        </w:rPr>
        <w:t>2</w:t>
      </w:r>
      <w:r w:rsidRPr="00E06C43">
        <w:rPr>
          <w:i/>
          <w:iCs/>
        </w:rPr>
        <w:t>: Ulykkesrisiko på strekninger og i kryss på veg med sykkel</w:t>
      </w:r>
      <w:r>
        <w:rPr>
          <w:i/>
          <w:iCs/>
        </w:rPr>
        <w:t>felt</w:t>
      </w:r>
      <w:r w:rsidRPr="00E06C43">
        <w:rPr>
          <w:i/>
          <w:iCs/>
        </w:rPr>
        <w:t>, sammenlignet med blandet trafikk</w:t>
      </w:r>
      <w:r>
        <w:rPr>
          <w:i/>
          <w:iCs/>
        </w:rPr>
        <w:t xml:space="preserve">, sammenlagte resultater fra </w:t>
      </w:r>
      <w:proofErr w:type="spellStart"/>
      <w:r>
        <w:rPr>
          <w:i/>
          <w:iCs/>
        </w:rPr>
        <w:t>meta</w:t>
      </w:r>
      <w:proofErr w:type="spellEnd"/>
      <w:r>
        <w:rPr>
          <w:i/>
          <w:iCs/>
        </w:rPr>
        <w:t>-analyse</w:t>
      </w:r>
      <w:r w:rsidRPr="00E06C43">
        <w:rPr>
          <w:i/>
          <w:iCs/>
        </w:rPr>
        <w:t>.</w:t>
      </w:r>
    </w:p>
    <w:tbl>
      <w:tblPr>
        <w:tblW w:w="0" w:type="auto"/>
        <w:tblCellMar>
          <w:left w:w="0" w:type="dxa"/>
          <w:right w:w="0" w:type="dxa"/>
        </w:tblCellMar>
        <w:tblLook w:val="04A0" w:firstRow="1" w:lastRow="0" w:firstColumn="1" w:lastColumn="0" w:noHBand="0" w:noVBand="1"/>
      </w:tblPr>
      <w:tblGrid>
        <w:gridCol w:w="1313"/>
        <w:gridCol w:w="2296"/>
        <w:gridCol w:w="1241"/>
        <w:gridCol w:w="1247"/>
        <w:gridCol w:w="1111"/>
      </w:tblGrid>
      <w:tr w:rsidR="00423B0D" w:rsidRPr="00F735F1" w14:paraId="2A87F81D" w14:textId="77777777" w:rsidTr="000F44DF">
        <w:trPr>
          <w:cantSplit/>
        </w:trPr>
        <w:tc>
          <w:tcPr>
            <w:tcW w:w="0" w:type="auto"/>
            <w:tcBorders>
              <w:top w:val="single" w:sz="12" w:space="0" w:color="000000"/>
              <w:left w:val="nil"/>
              <w:bottom w:val="nil"/>
              <w:right w:val="nil"/>
            </w:tcBorders>
            <w:tcMar>
              <w:top w:w="45" w:type="dxa"/>
              <w:left w:w="105" w:type="dxa"/>
              <w:bottom w:w="45" w:type="dxa"/>
              <w:right w:w="105" w:type="dxa"/>
            </w:tcMar>
            <w:hideMark/>
          </w:tcPr>
          <w:p w14:paraId="1014F795" w14:textId="77777777" w:rsidR="00423B0D" w:rsidRPr="00F735F1" w:rsidRDefault="00423B0D" w:rsidP="00423B0D">
            <w:pPr>
              <w:keepNext/>
              <w:spacing w:before="40" w:after="40"/>
              <w:rPr>
                <w:sz w:val="20"/>
                <w:szCs w:val="20"/>
              </w:rPr>
            </w:pPr>
          </w:p>
        </w:tc>
        <w:tc>
          <w:tcPr>
            <w:tcW w:w="0" w:type="auto"/>
            <w:tcBorders>
              <w:top w:val="single" w:sz="12" w:space="0" w:color="000000"/>
              <w:left w:val="nil"/>
              <w:bottom w:val="nil"/>
              <w:right w:val="nil"/>
            </w:tcBorders>
            <w:tcMar>
              <w:top w:w="45" w:type="dxa"/>
              <w:left w:w="105" w:type="dxa"/>
              <w:bottom w:w="45" w:type="dxa"/>
              <w:right w:w="105" w:type="dxa"/>
            </w:tcMar>
            <w:hideMark/>
          </w:tcPr>
          <w:p w14:paraId="0F6ABF76" w14:textId="77777777" w:rsidR="00423B0D" w:rsidRPr="00F735F1" w:rsidRDefault="00423B0D" w:rsidP="00423B0D">
            <w:pPr>
              <w:keepNext/>
              <w:spacing w:before="40" w:after="40"/>
              <w:rPr>
                <w:sz w:val="20"/>
                <w:szCs w:val="20"/>
              </w:rPr>
            </w:pPr>
          </w:p>
        </w:tc>
        <w:tc>
          <w:tcPr>
            <w:tcW w:w="0" w:type="auto"/>
            <w:tcBorders>
              <w:top w:val="single" w:sz="12" w:space="0" w:color="000000"/>
              <w:left w:val="nil"/>
              <w:bottom w:val="nil"/>
              <w:right w:val="nil"/>
            </w:tcBorders>
            <w:tcMar>
              <w:top w:w="45" w:type="dxa"/>
              <w:left w:w="105" w:type="dxa"/>
              <w:bottom w:w="45" w:type="dxa"/>
              <w:right w:w="105" w:type="dxa"/>
            </w:tcMar>
            <w:hideMark/>
          </w:tcPr>
          <w:p w14:paraId="0D3FCB6A" w14:textId="77777777" w:rsidR="00423B0D" w:rsidRPr="00F735F1" w:rsidRDefault="00423B0D" w:rsidP="00423B0D">
            <w:pPr>
              <w:keepNext/>
              <w:spacing w:before="40" w:after="40"/>
              <w:rPr>
                <w:sz w:val="20"/>
                <w:szCs w:val="20"/>
              </w:rPr>
            </w:pPr>
          </w:p>
        </w:tc>
        <w:tc>
          <w:tcPr>
            <w:tcW w:w="0" w:type="auto"/>
            <w:gridSpan w:val="2"/>
            <w:tcBorders>
              <w:top w:val="single" w:sz="12" w:space="0" w:color="000000"/>
              <w:left w:val="nil"/>
              <w:bottom w:val="single" w:sz="6" w:space="0" w:color="000000"/>
              <w:right w:val="nil"/>
            </w:tcBorders>
            <w:tcMar>
              <w:top w:w="45" w:type="dxa"/>
              <w:left w:w="105" w:type="dxa"/>
              <w:bottom w:w="45" w:type="dxa"/>
              <w:right w:w="105" w:type="dxa"/>
            </w:tcMar>
            <w:hideMark/>
          </w:tcPr>
          <w:p w14:paraId="636B682A" w14:textId="77777777" w:rsidR="00423B0D" w:rsidRPr="00F735F1" w:rsidRDefault="00423B0D" w:rsidP="00423B0D">
            <w:pPr>
              <w:keepNext/>
              <w:spacing w:before="40" w:after="40"/>
              <w:rPr>
                <w:sz w:val="20"/>
                <w:szCs w:val="20"/>
              </w:rPr>
            </w:pPr>
            <w:r w:rsidRPr="00F735F1">
              <w:rPr>
                <w:b/>
                <w:bCs/>
                <w:sz w:val="20"/>
                <w:szCs w:val="20"/>
              </w:rPr>
              <w:t>Virkning på ulykker</w:t>
            </w:r>
          </w:p>
        </w:tc>
      </w:tr>
      <w:tr w:rsidR="00423B0D" w:rsidRPr="00F735F1" w14:paraId="0AA4D665" w14:textId="77777777" w:rsidTr="000F44DF">
        <w:trPr>
          <w:cantSplit/>
        </w:trPr>
        <w:tc>
          <w:tcPr>
            <w:tcW w:w="0" w:type="auto"/>
            <w:tcBorders>
              <w:top w:val="nil"/>
              <w:left w:val="nil"/>
              <w:bottom w:val="single" w:sz="6" w:space="0" w:color="000000"/>
              <w:right w:val="nil"/>
            </w:tcBorders>
            <w:tcMar>
              <w:top w:w="45" w:type="dxa"/>
              <w:left w:w="105" w:type="dxa"/>
              <w:bottom w:w="45" w:type="dxa"/>
              <w:right w:w="105" w:type="dxa"/>
            </w:tcMar>
            <w:hideMark/>
          </w:tcPr>
          <w:p w14:paraId="3D4636BE" w14:textId="77777777" w:rsidR="00423B0D" w:rsidRPr="00F735F1" w:rsidRDefault="00423B0D" w:rsidP="00423B0D">
            <w:pPr>
              <w:keepNext/>
              <w:spacing w:before="40" w:after="40"/>
              <w:rPr>
                <w:sz w:val="20"/>
                <w:szCs w:val="20"/>
              </w:rPr>
            </w:pPr>
            <w:r w:rsidRPr="00F735F1">
              <w:rPr>
                <w:b/>
                <w:bCs/>
                <w:sz w:val="20"/>
                <w:szCs w:val="20"/>
              </w:rPr>
              <w:t>Ulykker</w:t>
            </w:r>
          </w:p>
        </w:tc>
        <w:tc>
          <w:tcPr>
            <w:tcW w:w="0" w:type="auto"/>
            <w:tcBorders>
              <w:top w:val="nil"/>
              <w:left w:val="nil"/>
              <w:bottom w:val="single" w:sz="6" w:space="0" w:color="000000"/>
              <w:right w:val="nil"/>
            </w:tcBorders>
            <w:tcMar>
              <w:top w:w="45" w:type="dxa"/>
              <w:left w:w="105" w:type="dxa"/>
              <w:bottom w:w="45" w:type="dxa"/>
              <w:right w:w="105" w:type="dxa"/>
            </w:tcMar>
          </w:tcPr>
          <w:p w14:paraId="49AEF86E" w14:textId="77777777" w:rsidR="00423B0D" w:rsidRPr="00EF3D39" w:rsidRDefault="00423B0D" w:rsidP="00423B0D">
            <w:pPr>
              <w:keepNext/>
              <w:spacing w:before="40" w:after="40"/>
              <w:rPr>
                <w:b/>
                <w:bCs/>
                <w:sz w:val="20"/>
                <w:szCs w:val="20"/>
              </w:rPr>
            </w:pPr>
            <w:r w:rsidRPr="00EF3D39">
              <w:rPr>
                <w:b/>
                <w:bCs/>
                <w:sz w:val="20"/>
                <w:szCs w:val="20"/>
              </w:rPr>
              <w:t>Type tiltak</w:t>
            </w:r>
          </w:p>
        </w:tc>
        <w:tc>
          <w:tcPr>
            <w:tcW w:w="0" w:type="auto"/>
            <w:tcBorders>
              <w:top w:val="nil"/>
              <w:left w:val="nil"/>
              <w:bottom w:val="single" w:sz="6" w:space="0" w:color="000000"/>
              <w:right w:val="nil"/>
            </w:tcBorders>
            <w:tcMar>
              <w:top w:w="45" w:type="dxa"/>
              <w:left w:w="105" w:type="dxa"/>
              <w:bottom w:w="45" w:type="dxa"/>
              <w:right w:w="105" w:type="dxa"/>
            </w:tcMar>
            <w:hideMark/>
          </w:tcPr>
          <w:p w14:paraId="587D72E5" w14:textId="77777777" w:rsidR="00423B0D" w:rsidRPr="00F735F1" w:rsidRDefault="00423B0D" w:rsidP="00423B0D">
            <w:pPr>
              <w:keepNext/>
              <w:spacing w:before="40" w:after="40"/>
              <w:rPr>
                <w:sz w:val="20"/>
                <w:szCs w:val="20"/>
              </w:rPr>
            </w:pPr>
            <w:r w:rsidRPr="00F735F1">
              <w:rPr>
                <w:b/>
                <w:bCs/>
                <w:sz w:val="20"/>
                <w:szCs w:val="20"/>
              </w:rPr>
              <w:t>Ulykkessted</w:t>
            </w:r>
          </w:p>
        </w:tc>
        <w:tc>
          <w:tcPr>
            <w:tcW w:w="0" w:type="auto"/>
            <w:tcBorders>
              <w:top w:val="nil"/>
              <w:left w:val="nil"/>
              <w:bottom w:val="single" w:sz="6" w:space="0" w:color="000000"/>
              <w:right w:val="nil"/>
            </w:tcBorders>
            <w:tcMar>
              <w:top w:w="45" w:type="dxa"/>
              <w:left w:w="105" w:type="dxa"/>
              <w:bottom w:w="45" w:type="dxa"/>
              <w:right w:w="105" w:type="dxa"/>
            </w:tcMar>
            <w:hideMark/>
          </w:tcPr>
          <w:p w14:paraId="5FAD9A59" w14:textId="77777777" w:rsidR="00423B0D" w:rsidRPr="00F735F1" w:rsidRDefault="00423B0D" w:rsidP="00423B0D">
            <w:pPr>
              <w:keepNext/>
              <w:spacing w:before="40" w:after="40"/>
              <w:rPr>
                <w:sz w:val="20"/>
                <w:szCs w:val="20"/>
              </w:rPr>
            </w:pPr>
            <w:r w:rsidRPr="00F735F1">
              <w:rPr>
                <w:b/>
                <w:bCs/>
                <w:sz w:val="20"/>
                <w:szCs w:val="20"/>
              </w:rPr>
              <w:t>Beste anslag</w:t>
            </w:r>
          </w:p>
        </w:tc>
        <w:tc>
          <w:tcPr>
            <w:tcW w:w="0" w:type="auto"/>
            <w:tcBorders>
              <w:top w:val="nil"/>
              <w:left w:val="nil"/>
              <w:bottom w:val="single" w:sz="6" w:space="0" w:color="000000"/>
              <w:right w:val="nil"/>
            </w:tcBorders>
            <w:tcMar>
              <w:top w:w="45" w:type="dxa"/>
              <w:left w:w="105" w:type="dxa"/>
              <w:bottom w:w="45" w:type="dxa"/>
              <w:right w:w="105" w:type="dxa"/>
            </w:tcMar>
            <w:hideMark/>
          </w:tcPr>
          <w:p w14:paraId="22073C66" w14:textId="77777777" w:rsidR="00423B0D" w:rsidRPr="00F735F1" w:rsidRDefault="00423B0D" w:rsidP="00423B0D">
            <w:pPr>
              <w:keepNext/>
              <w:spacing w:before="40" w:after="40"/>
              <w:rPr>
                <w:sz w:val="20"/>
                <w:szCs w:val="20"/>
              </w:rPr>
            </w:pPr>
            <w:r w:rsidRPr="00F735F1">
              <w:rPr>
                <w:b/>
                <w:bCs/>
                <w:sz w:val="20"/>
                <w:szCs w:val="20"/>
              </w:rPr>
              <w:t>Usikkerhet</w:t>
            </w:r>
          </w:p>
        </w:tc>
      </w:tr>
      <w:tr w:rsidR="00423B0D" w:rsidRPr="00F735F1" w14:paraId="58E5AF02" w14:textId="77777777" w:rsidTr="00D76053">
        <w:trPr>
          <w:cantSplit/>
        </w:trPr>
        <w:tc>
          <w:tcPr>
            <w:tcW w:w="0" w:type="auto"/>
            <w:tcBorders>
              <w:top w:val="nil"/>
              <w:left w:val="nil"/>
              <w:bottom w:val="nil"/>
              <w:right w:val="nil"/>
            </w:tcBorders>
            <w:tcMar>
              <w:top w:w="45" w:type="dxa"/>
              <w:left w:w="105" w:type="dxa"/>
              <w:bottom w:w="45" w:type="dxa"/>
              <w:right w:w="105" w:type="dxa"/>
            </w:tcMar>
            <w:vAlign w:val="bottom"/>
          </w:tcPr>
          <w:p w14:paraId="0D075C90" w14:textId="77777777" w:rsidR="00423B0D" w:rsidRPr="00423B0D" w:rsidRDefault="00423B0D" w:rsidP="00423B0D">
            <w:pPr>
              <w:keepNext/>
              <w:spacing w:before="40" w:after="40"/>
              <w:rPr>
                <w:sz w:val="20"/>
                <w:szCs w:val="20"/>
              </w:rPr>
            </w:pPr>
            <w:r w:rsidRPr="00423B0D">
              <w:rPr>
                <w:sz w:val="20"/>
                <w:szCs w:val="20"/>
              </w:rPr>
              <w:t>Sykkelulykker</w:t>
            </w:r>
          </w:p>
        </w:tc>
        <w:tc>
          <w:tcPr>
            <w:tcW w:w="0" w:type="auto"/>
            <w:tcBorders>
              <w:top w:val="nil"/>
              <w:left w:val="nil"/>
              <w:bottom w:val="nil"/>
              <w:right w:val="nil"/>
            </w:tcBorders>
            <w:tcMar>
              <w:top w:w="45" w:type="dxa"/>
              <w:left w:w="105" w:type="dxa"/>
              <w:bottom w:w="45" w:type="dxa"/>
              <w:right w:w="105" w:type="dxa"/>
            </w:tcMar>
            <w:vAlign w:val="bottom"/>
          </w:tcPr>
          <w:p w14:paraId="6E76C685" w14:textId="77777777" w:rsidR="00423B0D" w:rsidRPr="00423B0D" w:rsidRDefault="00423B0D" w:rsidP="00423B0D">
            <w:pPr>
              <w:keepNext/>
              <w:spacing w:before="40" w:after="40"/>
              <w:rPr>
                <w:sz w:val="20"/>
                <w:szCs w:val="20"/>
              </w:rPr>
            </w:pPr>
            <w:r w:rsidRPr="00423B0D">
              <w:rPr>
                <w:sz w:val="20"/>
                <w:szCs w:val="20"/>
              </w:rPr>
              <w:t>Kryss</w:t>
            </w:r>
          </w:p>
        </w:tc>
        <w:tc>
          <w:tcPr>
            <w:tcW w:w="0" w:type="auto"/>
            <w:tcBorders>
              <w:top w:val="nil"/>
              <w:left w:val="nil"/>
              <w:bottom w:val="nil"/>
              <w:right w:val="nil"/>
            </w:tcBorders>
            <w:tcMar>
              <w:top w:w="45" w:type="dxa"/>
              <w:left w:w="105" w:type="dxa"/>
              <w:bottom w:w="45" w:type="dxa"/>
              <w:right w:w="105" w:type="dxa"/>
            </w:tcMar>
            <w:vAlign w:val="bottom"/>
          </w:tcPr>
          <w:p w14:paraId="5DAABDB9" w14:textId="77777777" w:rsidR="00423B0D" w:rsidRPr="00423B0D" w:rsidRDefault="00423B0D" w:rsidP="00423B0D">
            <w:pPr>
              <w:keepNext/>
              <w:spacing w:before="40" w:after="40"/>
              <w:rPr>
                <w:sz w:val="20"/>
                <w:szCs w:val="20"/>
              </w:rPr>
            </w:pPr>
            <w:r w:rsidRPr="00423B0D">
              <w:rPr>
                <w:sz w:val="20"/>
                <w:szCs w:val="20"/>
              </w:rPr>
              <w:t>Personskade</w:t>
            </w:r>
          </w:p>
        </w:tc>
        <w:tc>
          <w:tcPr>
            <w:tcW w:w="0" w:type="auto"/>
            <w:tcBorders>
              <w:top w:val="nil"/>
              <w:left w:val="nil"/>
              <w:bottom w:val="nil"/>
              <w:right w:val="nil"/>
            </w:tcBorders>
            <w:tcMar>
              <w:top w:w="45" w:type="dxa"/>
              <w:left w:w="105" w:type="dxa"/>
              <w:bottom w:w="45" w:type="dxa"/>
              <w:right w:w="105" w:type="dxa"/>
            </w:tcMar>
            <w:vAlign w:val="bottom"/>
          </w:tcPr>
          <w:p w14:paraId="7A3D4123" w14:textId="77777777" w:rsidR="00423B0D" w:rsidRPr="00423B0D" w:rsidRDefault="00423B0D" w:rsidP="00423B0D">
            <w:pPr>
              <w:keepNext/>
              <w:spacing w:before="40" w:after="40"/>
              <w:jc w:val="center"/>
              <w:rPr>
                <w:b/>
                <w:bCs/>
                <w:sz w:val="20"/>
                <w:szCs w:val="20"/>
              </w:rPr>
            </w:pPr>
            <w:r>
              <w:rPr>
                <w:b/>
                <w:bCs/>
                <w:sz w:val="20"/>
                <w:szCs w:val="20"/>
              </w:rPr>
              <w:t>+</w:t>
            </w:r>
            <w:r w:rsidRPr="00423B0D">
              <w:rPr>
                <w:b/>
                <w:bCs/>
                <w:sz w:val="20"/>
                <w:szCs w:val="20"/>
              </w:rPr>
              <w:t>18</w:t>
            </w:r>
          </w:p>
        </w:tc>
        <w:tc>
          <w:tcPr>
            <w:tcW w:w="0" w:type="auto"/>
            <w:tcBorders>
              <w:top w:val="nil"/>
              <w:left w:val="nil"/>
              <w:bottom w:val="nil"/>
              <w:right w:val="nil"/>
            </w:tcBorders>
            <w:tcMar>
              <w:top w:w="45" w:type="dxa"/>
              <w:left w:w="105" w:type="dxa"/>
              <w:bottom w:w="45" w:type="dxa"/>
              <w:right w:w="105" w:type="dxa"/>
            </w:tcMar>
            <w:vAlign w:val="bottom"/>
          </w:tcPr>
          <w:p w14:paraId="1AF8E13D" w14:textId="77777777" w:rsidR="00423B0D" w:rsidRPr="00423B0D" w:rsidRDefault="00423B0D" w:rsidP="00423B0D">
            <w:pPr>
              <w:keepNext/>
              <w:spacing w:before="40" w:after="40"/>
              <w:rPr>
                <w:sz w:val="20"/>
                <w:szCs w:val="20"/>
              </w:rPr>
            </w:pPr>
            <w:r w:rsidRPr="00423B0D">
              <w:rPr>
                <w:sz w:val="20"/>
                <w:szCs w:val="20"/>
              </w:rPr>
              <w:t xml:space="preserve">(-38; </w:t>
            </w:r>
            <w:r>
              <w:rPr>
                <w:sz w:val="20"/>
                <w:szCs w:val="20"/>
              </w:rPr>
              <w:t>+</w:t>
            </w:r>
            <w:r w:rsidRPr="00423B0D">
              <w:rPr>
                <w:sz w:val="20"/>
                <w:szCs w:val="20"/>
              </w:rPr>
              <w:t>127)</w:t>
            </w:r>
          </w:p>
        </w:tc>
      </w:tr>
      <w:tr w:rsidR="00423B0D" w:rsidRPr="00F735F1" w14:paraId="3F8682BC" w14:textId="77777777" w:rsidTr="00D76053">
        <w:trPr>
          <w:cantSplit/>
        </w:trPr>
        <w:tc>
          <w:tcPr>
            <w:tcW w:w="0" w:type="auto"/>
            <w:tcBorders>
              <w:top w:val="nil"/>
              <w:left w:val="nil"/>
              <w:bottom w:val="nil"/>
              <w:right w:val="nil"/>
            </w:tcBorders>
            <w:tcMar>
              <w:top w:w="45" w:type="dxa"/>
              <w:left w:w="105" w:type="dxa"/>
              <w:bottom w:w="45" w:type="dxa"/>
              <w:right w:w="105" w:type="dxa"/>
            </w:tcMar>
            <w:vAlign w:val="bottom"/>
            <w:hideMark/>
          </w:tcPr>
          <w:p w14:paraId="7E77D55C" w14:textId="77777777" w:rsidR="00423B0D" w:rsidRPr="00423B0D" w:rsidRDefault="00423B0D" w:rsidP="00423B0D">
            <w:pPr>
              <w:keepNext/>
              <w:spacing w:before="40" w:after="40"/>
              <w:rPr>
                <w:sz w:val="20"/>
                <w:szCs w:val="20"/>
              </w:rPr>
            </w:pPr>
          </w:p>
        </w:tc>
        <w:tc>
          <w:tcPr>
            <w:tcW w:w="0" w:type="auto"/>
            <w:tcBorders>
              <w:top w:val="nil"/>
              <w:left w:val="nil"/>
              <w:bottom w:val="nil"/>
              <w:right w:val="nil"/>
            </w:tcBorders>
            <w:tcMar>
              <w:top w:w="45" w:type="dxa"/>
              <w:left w:w="105" w:type="dxa"/>
              <w:bottom w:w="45" w:type="dxa"/>
              <w:right w:w="105" w:type="dxa"/>
            </w:tcMar>
            <w:vAlign w:val="bottom"/>
            <w:hideMark/>
          </w:tcPr>
          <w:p w14:paraId="5641315E" w14:textId="77777777" w:rsidR="00423B0D" w:rsidRPr="00423B0D" w:rsidRDefault="00423B0D" w:rsidP="00423B0D">
            <w:pPr>
              <w:keepNext/>
              <w:spacing w:before="40" w:after="40"/>
              <w:rPr>
                <w:sz w:val="20"/>
                <w:szCs w:val="20"/>
              </w:rPr>
            </w:pPr>
            <w:r w:rsidRPr="00423B0D">
              <w:rPr>
                <w:sz w:val="20"/>
                <w:szCs w:val="20"/>
              </w:rPr>
              <w:t>Strekning med/uten kryss</w:t>
            </w:r>
          </w:p>
        </w:tc>
        <w:tc>
          <w:tcPr>
            <w:tcW w:w="0" w:type="auto"/>
            <w:tcBorders>
              <w:top w:val="nil"/>
              <w:left w:val="nil"/>
              <w:bottom w:val="nil"/>
              <w:right w:val="nil"/>
            </w:tcBorders>
            <w:tcMar>
              <w:top w:w="45" w:type="dxa"/>
              <w:left w:w="105" w:type="dxa"/>
              <w:bottom w:w="45" w:type="dxa"/>
              <w:right w:w="105" w:type="dxa"/>
            </w:tcMar>
            <w:vAlign w:val="bottom"/>
            <w:hideMark/>
          </w:tcPr>
          <w:p w14:paraId="1E0FC23C" w14:textId="77777777" w:rsidR="00423B0D" w:rsidRPr="00423B0D" w:rsidRDefault="00423B0D" w:rsidP="00423B0D">
            <w:pPr>
              <w:keepNext/>
              <w:spacing w:before="40" w:after="40"/>
              <w:rPr>
                <w:sz w:val="20"/>
                <w:szCs w:val="20"/>
              </w:rPr>
            </w:pPr>
            <w:r w:rsidRPr="00423B0D">
              <w:rPr>
                <w:sz w:val="20"/>
                <w:szCs w:val="20"/>
              </w:rPr>
              <w:t>Personskade</w:t>
            </w:r>
          </w:p>
        </w:tc>
        <w:tc>
          <w:tcPr>
            <w:tcW w:w="0" w:type="auto"/>
            <w:tcBorders>
              <w:top w:val="nil"/>
              <w:left w:val="nil"/>
              <w:bottom w:val="nil"/>
              <w:right w:val="nil"/>
            </w:tcBorders>
            <w:tcMar>
              <w:top w:w="45" w:type="dxa"/>
              <w:left w:w="105" w:type="dxa"/>
              <w:bottom w:w="45" w:type="dxa"/>
              <w:right w:w="105" w:type="dxa"/>
            </w:tcMar>
            <w:vAlign w:val="bottom"/>
            <w:hideMark/>
          </w:tcPr>
          <w:p w14:paraId="5D9B3E87" w14:textId="13627F9F" w:rsidR="00423B0D" w:rsidRPr="00423B0D" w:rsidRDefault="00423B0D" w:rsidP="00423B0D">
            <w:pPr>
              <w:keepNext/>
              <w:spacing w:before="40" w:after="40"/>
              <w:jc w:val="center"/>
              <w:rPr>
                <w:b/>
                <w:bCs/>
                <w:sz w:val="20"/>
                <w:szCs w:val="20"/>
              </w:rPr>
            </w:pPr>
            <w:r w:rsidRPr="00423B0D">
              <w:rPr>
                <w:b/>
                <w:bCs/>
                <w:sz w:val="20"/>
                <w:szCs w:val="20"/>
              </w:rPr>
              <w:t>-3</w:t>
            </w:r>
            <w:r w:rsidR="004673AA">
              <w:rPr>
                <w:b/>
                <w:bCs/>
                <w:sz w:val="20"/>
                <w:szCs w:val="20"/>
              </w:rPr>
              <w:t>4</w:t>
            </w:r>
          </w:p>
        </w:tc>
        <w:tc>
          <w:tcPr>
            <w:tcW w:w="0" w:type="auto"/>
            <w:tcBorders>
              <w:top w:val="nil"/>
              <w:left w:val="nil"/>
              <w:bottom w:val="nil"/>
              <w:right w:val="nil"/>
            </w:tcBorders>
            <w:tcMar>
              <w:top w:w="45" w:type="dxa"/>
              <w:left w:w="105" w:type="dxa"/>
              <w:bottom w:w="45" w:type="dxa"/>
              <w:right w:w="105" w:type="dxa"/>
            </w:tcMar>
            <w:vAlign w:val="bottom"/>
            <w:hideMark/>
          </w:tcPr>
          <w:p w14:paraId="27BAACDE" w14:textId="0538F5A9" w:rsidR="00423B0D" w:rsidRPr="00423B0D" w:rsidRDefault="00423B0D" w:rsidP="00423B0D">
            <w:pPr>
              <w:keepNext/>
              <w:spacing w:before="40" w:after="40"/>
              <w:rPr>
                <w:sz w:val="20"/>
                <w:szCs w:val="20"/>
              </w:rPr>
            </w:pPr>
            <w:r w:rsidRPr="00423B0D">
              <w:rPr>
                <w:sz w:val="20"/>
                <w:szCs w:val="20"/>
              </w:rPr>
              <w:t>(-4</w:t>
            </w:r>
            <w:r w:rsidR="004673AA">
              <w:rPr>
                <w:sz w:val="20"/>
                <w:szCs w:val="20"/>
              </w:rPr>
              <w:t>6</w:t>
            </w:r>
            <w:r w:rsidRPr="00423B0D">
              <w:rPr>
                <w:sz w:val="20"/>
                <w:szCs w:val="20"/>
              </w:rPr>
              <w:t>; -</w:t>
            </w:r>
            <w:r w:rsidR="004673AA">
              <w:rPr>
                <w:sz w:val="20"/>
                <w:szCs w:val="20"/>
              </w:rPr>
              <w:t>19</w:t>
            </w:r>
            <w:r w:rsidRPr="00423B0D">
              <w:rPr>
                <w:sz w:val="20"/>
                <w:szCs w:val="20"/>
              </w:rPr>
              <w:t>)</w:t>
            </w:r>
          </w:p>
        </w:tc>
      </w:tr>
      <w:tr w:rsidR="00423B0D" w:rsidRPr="00F735F1" w14:paraId="33BCBD7E" w14:textId="77777777" w:rsidTr="00423B0D">
        <w:trPr>
          <w:cantSplit/>
        </w:trPr>
        <w:tc>
          <w:tcPr>
            <w:tcW w:w="0" w:type="auto"/>
            <w:tcBorders>
              <w:top w:val="nil"/>
              <w:left w:val="nil"/>
              <w:right w:val="nil"/>
            </w:tcBorders>
            <w:tcMar>
              <w:top w:w="45" w:type="dxa"/>
              <w:left w:w="105" w:type="dxa"/>
              <w:bottom w:w="45" w:type="dxa"/>
              <w:right w:w="105" w:type="dxa"/>
            </w:tcMar>
            <w:vAlign w:val="bottom"/>
            <w:hideMark/>
          </w:tcPr>
          <w:p w14:paraId="26524815" w14:textId="77777777" w:rsidR="00423B0D" w:rsidRPr="00423B0D" w:rsidRDefault="00423B0D" w:rsidP="00423B0D">
            <w:pPr>
              <w:keepNext/>
              <w:spacing w:before="40" w:after="40"/>
              <w:rPr>
                <w:sz w:val="20"/>
                <w:szCs w:val="20"/>
              </w:rPr>
            </w:pPr>
          </w:p>
        </w:tc>
        <w:tc>
          <w:tcPr>
            <w:tcW w:w="0" w:type="auto"/>
            <w:tcBorders>
              <w:top w:val="nil"/>
              <w:left w:val="nil"/>
              <w:right w:val="nil"/>
            </w:tcBorders>
            <w:tcMar>
              <w:top w:w="45" w:type="dxa"/>
              <w:left w:w="105" w:type="dxa"/>
              <w:bottom w:w="45" w:type="dxa"/>
              <w:right w:w="105" w:type="dxa"/>
            </w:tcMar>
            <w:vAlign w:val="bottom"/>
            <w:hideMark/>
          </w:tcPr>
          <w:p w14:paraId="3DA402AE" w14:textId="77777777" w:rsidR="00423B0D" w:rsidRPr="00423B0D" w:rsidRDefault="00423B0D" w:rsidP="00423B0D">
            <w:pPr>
              <w:keepNext/>
              <w:spacing w:before="40" w:after="40"/>
              <w:rPr>
                <w:sz w:val="20"/>
                <w:szCs w:val="20"/>
              </w:rPr>
            </w:pPr>
            <w:r w:rsidRPr="00423B0D">
              <w:rPr>
                <w:sz w:val="20"/>
                <w:szCs w:val="20"/>
              </w:rPr>
              <w:t>Strekning med/uten kryss</w:t>
            </w:r>
          </w:p>
        </w:tc>
        <w:tc>
          <w:tcPr>
            <w:tcW w:w="0" w:type="auto"/>
            <w:tcBorders>
              <w:top w:val="nil"/>
              <w:left w:val="nil"/>
              <w:right w:val="nil"/>
            </w:tcBorders>
            <w:tcMar>
              <w:top w:w="45" w:type="dxa"/>
              <w:left w:w="105" w:type="dxa"/>
              <w:bottom w:w="45" w:type="dxa"/>
              <w:right w:w="105" w:type="dxa"/>
            </w:tcMar>
            <w:vAlign w:val="bottom"/>
            <w:hideMark/>
          </w:tcPr>
          <w:p w14:paraId="580797C3" w14:textId="77777777" w:rsidR="00423B0D" w:rsidRPr="00423B0D" w:rsidRDefault="00423B0D" w:rsidP="00423B0D">
            <w:pPr>
              <w:keepNext/>
              <w:spacing w:before="40" w:after="40"/>
              <w:rPr>
                <w:sz w:val="20"/>
                <w:szCs w:val="20"/>
              </w:rPr>
            </w:pPr>
            <w:r w:rsidRPr="00423B0D">
              <w:rPr>
                <w:sz w:val="20"/>
                <w:szCs w:val="20"/>
              </w:rPr>
              <w:t>D/HS</w:t>
            </w:r>
          </w:p>
        </w:tc>
        <w:tc>
          <w:tcPr>
            <w:tcW w:w="0" w:type="auto"/>
            <w:tcBorders>
              <w:top w:val="nil"/>
              <w:left w:val="nil"/>
              <w:right w:val="nil"/>
            </w:tcBorders>
            <w:tcMar>
              <w:top w:w="45" w:type="dxa"/>
              <w:left w:w="105" w:type="dxa"/>
              <w:bottom w:w="45" w:type="dxa"/>
              <w:right w:w="105" w:type="dxa"/>
            </w:tcMar>
            <w:vAlign w:val="bottom"/>
          </w:tcPr>
          <w:p w14:paraId="365609C7" w14:textId="77777777" w:rsidR="00423B0D" w:rsidRPr="00423B0D" w:rsidRDefault="00423B0D" w:rsidP="00423B0D">
            <w:pPr>
              <w:keepNext/>
              <w:spacing w:before="40" w:after="40"/>
              <w:jc w:val="center"/>
              <w:rPr>
                <w:b/>
                <w:bCs/>
                <w:sz w:val="20"/>
                <w:szCs w:val="20"/>
              </w:rPr>
            </w:pPr>
            <w:r w:rsidRPr="00423B0D">
              <w:rPr>
                <w:b/>
                <w:bCs/>
                <w:sz w:val="20"/>
                <w:szCs w:val="20"/>
              </w:rPr>
              <w:t>-52</w:t>
            </w:r>
          </w:p>
        </w:tc>
        <w:tc>
          <w:tcPr>
            <w:tcW w:w="0" w:type="auto"/>
            <w:tcBorders>
              <w:top w:val="nil"/>
              <w:left w:val="nil"/>
              <w:right w:val="nil"/>
            </w:tcBorders>
            <w:tcMar>
              <w:top w:w="45" w:type="dxa"/>
              <w:left w:w="105" w:type="dxa"/>
              <w:bottom w:w="45" w:type="dxa"/>
              <w:right w:w="105" w:type="dxa"/>
            </w:tcMar>
            <w:vAlign w:val="bottom"/>
          </w:tcPr>
          <w:p w14:paraId="1DC1ED63" w14:textId="77777777" w:rsidR="00423B0D" w:rsidRPr="00423B0D" w:rsidRDefault="00423B0D" w:rsidP="00423B0D">
            <w:pPr>
              <w:keepNext/>
              <w:spacing w:before="40" w:after="40"/>
              <w:rPr>
                <w:sz w:val="20"/>
                <w:szCs w:val="20"/>
              </w:rPr>
            </w:pPr>
            <w:r w:rsidRPr="00423B0D">
              <w:rPr>
                <w:sz w:val="20"/>
                <w:szCs w:val="20"/>
              </w:rPr>
              <w:t>(-73; -16)</w:t>
            </w:r>
          </w:p>
        </w:tc>
      </w:tr>
      <w:tr w:rsidR="00423B0D" w:rsidRPr="00F735F1" w14:paraId="20189A96" w14:textId="77777777" w:rsidTr="00D76053">
        <w:trPr>
          <w:cantSplit/>
        </w:trPr>
        <w:tc>
          <w:tcPr>
            <w:tcW w:w="0" w:type="auto"/>
            <w:tcBorders>
              <w:top w:val="nil"/>
              <w:left w:val="nil"/>
              <w:bottom w:val="nil"/>
              <w:right w:val="nil"/>
            </w:tcBorders>
            <w:tcMar>
              <w:top w:w="45" w:type="dxa"/>
              <w:left w:w="105" w:type="dxa"/>
              <w:bottom w:w="45" w:type="dxa"/>
              <w:right w:w="105" w:type="dxa"/>
            </w:tcMar>
            <w:vAlign w:val="bottom"/>
            <w:hideMark/>
          </w:tcPr>
          <w:p w14:paraId="70C1A326" w14:textId="5B337D5B" w:rsidR="00423B0D" w:rsidRPr="00423B0D" w:rsidRDefault="00423B0D" w:rsidP="00423B0D">
            <w:pPr>
              <w:keepNext/>
              <w:spacing w:before="40" w:after="40"/>
              <w:rPr>
                <w:sz w:val="20"/>
                <w:szCs w:val="20"/>
              </w:rPr>
            </w:pPr>
            <w:r w:rsidRPr="00423B0D">
              <w:rPr>
                <w:sz w:val="20"/>
                <w:szCs w:val="20"/>
              </w:rPr>
              <w:t>Alle ulykker</w:t>
            </w:r>
          </w:p>
        </w:tc>
        <w:tc>
          <w:tcPr>
            <w:tcW w:w="0" w:type="auto"/>
            <w:tcBorders>
              <w:top w:val="nil"/>
              <w:left w:val="nil"/>
              <w:bottom w:val="nil"/>
              <w:right w:val="nil"/>
            </w:tcBorders>
            <w:tcMar>
              <w:top w:w="45" w:type="dxa"/>
              <w:left w:w="105" w:type="dxa"/>
              <w:bottom w:w="45" w:type="dxa"/>
              <w:right w:w="105" w:type="dxa"/>
            </w:tcMar>
            <w:vAlign w:val="bottom"/>
          </w:tcPr>
          <w:p w14:paraId="4F9CED6D" w14:textId="482B0957" w:rsidR="00423B0D" w:rsidRPr="00423B0D" w:rsidRDefault="00423B0D" w:rsidP="00423B0D">
            <w:pPr>
              <w:keepNext/>
              <w:spacing w:before="40" w:after="40"/>
              <w:rPr>
                <w:sz w:val="20"/>
                <w:szCs w:val="20"/>
              </w:rPr>
            </w:pPr>
            <w:r w:rsidRPr="00423B0D">
              <w:rPr>
                <w:sz w:val="20"/>
                <w:szCs w:val="20"/>
              </w:rPr>
              <w:t>Kryss</w:t>
            </w:r>
          </w:p>
        </w:tc>
        <w:tc>
          <w:tcPr>
            <w:tcW w:w="0" w:type="auto"/>
            <w:tcBorders>
              <w:top w:val="nil"/>
              <w:left w:val="nil"/>
              <w:bottom w:val="nil"/>
              <w:right w:val="nil"/>
            </w:tcBorders>
            <w:tcMar>
              <w:top w:w="45" w:type="dxa"/>
              <w:left w:w="105" w:type="dxa"/>
              <w:bottom w:w="45" w:type="dxa"/>
              <w:right w:w="105" w:type="dxa"/>
            </w:tcMar>
            <w:vAlign w:val="bottom"/>
            <w:hideMark/>
          </w:tcPr>
          <w:p w14:paraId="524D5BEB" w14:textId="73D9D5BC" w:rsidR="00423B0D" w:rsidRPr="00423B0D" w:rsidRDefault="00423B0D" w:rsidP="00423B0D">
            <w:pPr>
              <w:keepNext/>
              <w:spacing w:before="40" w:after="40"/>
              <w:rPr>
                <w:sz w:val="20"/>
                <w:szCs w:val="20"/>
              </w:rPr>
            </w:pPr>
            <w:r w:rsidRPr="00423B0D">
              <w:rPr>
                <w:sz w:val="20"/>
                <w:szCs w:val="20"/>
              </w:rPr>
              <w:t>Personskade</w:t>
            </w:r>
          </w:p>
        </w:tc>
        <w:tc>
          <w:tcPr>
            <w:tcW w:w="0" w:type="auto"/>
            <w:tcBorders>
              <w:top w:val="nil"/>
              <w:left w:val="nil"/>
              <w:bottom w:val="nil"/>
              <w:right w:val="nil"/>
            </w:tcBorders>
            <w:tcMar>
              <w:top w:w="45" w:type="dxa"/>
              <w:left w:w="105" w:type="dxa"/>
              <w:bottom w:w="45" w:type="dxa"/>
              <w:right w:w="105" w:type="dxa"/>
            </w:tcMar>
            <w:vAlign w:val="bottom"/>
            <w:hideMark/>
          </w:tcPr>
          <w:p w14:paraId="7CCC20BB" w14:textId="3F997414" w:rsidR="00423B0D" w:rsidRPr="00423B0D" w:rsidRDefault="00423B0D" w:rsidP="00423B0D">
            <w:pPr>
              <w:keepNext/>
              <w:spacing w:before="40" w:after="40"/>
              <w:jc w:val="center"/>
              <w:rPr>
                <w:b/>
                <w:bCs/>
                <w:sz w:val="20"/>
                <w:szCs w:val="20"/>
              </w:rPr>
            </w:pPr>
            <w:r>
              <w:rPr>
                <w:b/>
                <w:bCs/>
                <w:sz w:val="20"/>
                <w:szCs w:val="20"/>
              </w:rPr>
              <w:t>+</w:t>
            </w:r>
            <w:r w:rsidRPr="00423B0D">
              <w:rPr>
                <w:b/>
                <w:bCs/>
                <w:sz w:val="20"/>
                <w:szCs w:val="20"/>
              </w:rPr>
              <w:t>13</w:t>
            </w:r>
          </w:p>
        </w:tc>
        <w:tc>
          <w:tcPr>
            <w:tcW w:w="0" w:type="auto"/>
            <w:tcBorders>
              <w:top w:val="nil"/>
              <w:left w:val="nil"/>
              <w:bottom w:val="nil"/>
              <w:right w:val="nil"/>
            </w:tcBorders>
            <w:tcMar>
              <w:top w:w="45" w:type="dxa"/>
              <w:left w:w="105" w:type="dxa"/>
              <w:bottom w:w="45" w:type="dxa"/>
              <w:right w:w="105" w:type="dxa"/>
            </w:tcMar>
            <w:vAlign w:val="bottom"/>
            <w:hideMark/>
          </w:tcPr>
          <w:p w14:paraId="3E10A862" w14:textId="09C29A98" w:rsidR="00423B0D" w:rsidRPr="00423B0D" w:rsidRDefault="00423B0D" w:rsidP="00423B0D">
            <w:pPr>
              <w:keepNext/>
              <w:spacing w:before="40" w:after="40"/>
              <w:rPr>
                <w:sz w:val="20"/>
                <w:szCs w:val="20"/>
              </w:rPr>
            </w:pPr>
            <w:r w:rsidRPr="00423B0D">
              <w:rPr>
                <w:sz w:val="20"/>
                <w:szCs w:val="20"/>
              </w:rPr>
              <w:t xml:space="preserve">(-15; </w:t>
            </w:r>
            <w:r>
              <w:rPr>
                <w:sz w:val="20"/>
                <w:szCs w:val="20"/>
              </w:rPr>
              <w:t>+</w:t>
            </w:r>
            <w:r w:rsidRPr="00423B0D">
              <w:rPr>
                <w:sz w:val="20"/>
                <w:szCs w:val="20"/>
              </w:rPr>
              <w:t>52)</w:t>
            </w:r>
          </w:p>
        </w:tc>
      </w:tr>
      <w:tr w:rsidR="00423B0D" w:rsidRPr="00F735F1" w14:paraId="79905937" w14:textId="77777777" w:rsidTr="00423B0D">
        <w:trPr>
          <w:cantSplit/>
        </w:trPr>
        <w:tc>
          <w:tcPr>
            <w:tcW w:w="0" w:type="auto"/>
            <w:tcBorders>
              <w:top w:val="nil"/>
              <w:left w:val="nil"/>
              <w:bottom w:val="single" w:sz="12" w:space="0" w:color="auto"/>
              <w:right w:val="nil"/>
            </w:tcBorders>
            <w:tcMar>
              <w:top w:w="45" w:type="dxa"/>
              <w:left w:w="105" w:type="dxa"/>
              <w:bottom w:w="45" w:type="dxa"/>
              <w:right w:w="105" w:type="dxa"/>
            </w:tcMar>
            <w:vAlign w:val="bottom"/>
          </w:tcPr>
          <w:p w14:paraId="6AEF1DF1" w14:textId="77777777" w:rsidR="00423B0D" w:rsidRPr="00423B0D" w:rsidRDefault="00423B0D" w:rsidP="00423B0D">
            <w:pPr>
              <w:keepNext/>
              <w:spacing w:before="40" w:after="40"/>
              <w:rPr>
                <w:sz w:val="20"/>
                <w:szCs w:val="20"/>
              </w:rPr>
            </w:pPr>
          </w:p>
        </w:tc>
        <w:tc>
          <w:tcPr>
            <w:tcW w:w="0" w:type="auto"/>
            <w:tcBorders>
              <w:top w:val="nil"/>
              <w:left w:val="nil"/>
              <w:bottom w:val="single" w:sz="12" w:space="0" w:color="auto"/>
              <w:right w:val="nil"/>
            </w:tcBorders>
            <w:tcMar>
              <w:top w:w="45" w:type="dxa"/>
              <w:left w:w="105" w:type="dxa"/>
              <w:bottom w:w="45" w:type="dxa"/>
              <w:right w:w="105" w:type="dxa"/>
            </w:tcMar>
            <w:vAlign w:val="bottom"/>
          </w:tcPr>
          <w:p w14:paraId="725CA241" w14:textId="5D89E90E" w:rsidR="00423B0D" w:rsidRPr="00423B0D" w:rsidRDefault="00423B0D" w:rsidP="00423B0D">
            <w:pPr>
              <w:keepNext/>
              <w:spacing w:before="40" w:after="40"/>
              <w:rPr>
                <w:sz w:val="20"/>
                <w:szCs w:val="20"/>
              </w:rPr>
            </w:pPr>
            <w:r w:rsidRPr="00423B0D">
              <w:rPr>
                <w:sz w:val="20"/>
                <w:szCs w:val="20"/>
              </w:rPr>
              <w:t>Strekning med/uten kryss</w:t>
            </w:r>
          </w:p>
        </w:tc>
        <w:tc>
          <w:tcPr>
            <w:tcW w:w="0" w:type="auto"/>
            <w:tcBorders>
              <w:top w:val="nil"/>
              <w:left w:val="nil"/>
              <w:bottom w:val="single" w:sz="12" w:space="0" w:color="auto"/>
              <w:right w:val="nil"/>
            </w:tcBorders>
            <w:tcMar>
              <w:top w:w="45" w:type="dxa"/>
              <w:left w:w="105" w:type="dxa"/>
              <w:bottom w:w="45" w:type="dxa"/>
              <w:right w:w="105" w:type="dxa"/>
            </w:tcMar>
            <w:vAlign w:val="bottom"/>
          </w:tcPr>
          <w:p w14:paraId="66C9939E" w14:textId="40C311AD" w:rsidR="00423B0D" w:rsidRPr="00423B0D" w:rsidRDefault="00423B0D" w:rsidP="00423B0D">
            <w:pPr>
              <w:keepNext/>
              <w:spacing w:before="40" w:after="40"/>
              <w:rPr>
                <w:sz w:val="20"/>
                <w:szCs w:val="20"/>
              </w:rPr>
            </w:pPr>
            <w:r w:rsidRPr="00423B0D">
              <w:rPr>
                <w:sz w:val="20"/>
                <w:szCs w:val="20"/>
              </w:rPr>
              <w:t>Personskade</w:t>
            </w:r>
          </w:p>
        </w:tc>
        <w:tc>
          <w:tcPr>
            <w:tcW w:w="0" w:type="auto"/>
            <w:tcBorders>
              <w:top w:val="nil"/>
              <w:left w:val="nil"/>
              <w:bottom w:val="single" w:sz="12" w:space="0" w:color="auto"/>
              <w:right w:val="nil"/>
            </w:tcBorders>
            <w:tcMar>
              <w:top w:w="45" w:type="dxa"/>
              <w:left w:w="105" w:type="dxa"/>
              <w:bottom w:w="45" w:type="dxa"/>
              <w:right w:w="105" w:type="dxa"/>
            </w:tcMar>
            <w:vAlign w:val="bottom"/>
          </w:tcPr>
          <w:p w14:paraId="5E3105EA" w14:textId="7D07056B" w:rsidR="00423B0D" w:rsidRPr="00423B0D" w:rsidRDefault="00423B0D" w:rsidP="00423B0D">
            <w:pPr>
              <w:keepNext/>
              <w:spacing w:before="40" w:after="40"/>
              <w:jc w:val="center"/>
              <w:rPr>
                <w:b/>
                <w:bCs/>
                <w:sz w:val="20"/>
                <w:szCs w:val="20"/>
              </w:rPr>
            </w:pPr>
            <w:r>
              <w:rPr>
                <w:b/>
                <w:bCs/>
                <w:sz w:val="20"/>
                <w:szCs w:val="20"/>
              </w:rPr>
              <w:t>+</w:t>
            </w:r>
            <w:r w:rsidRPr="00423B0D">
              <w:rPr>
                <w:b/>
                <w:bCs/>
                <w:sz w:val="20"/>
                <w:szCs w:val="20"/>
              </w:rPr>
              <w:t>25</w:t>
            </w:r>
          </w:p>
        </w:tc>
        <w:tc>
          <w:tcPr>
            <w:tcW w:w="0" w:type="auto"/>
            <w:tcBorders>
              <w:top w:val="nil"/>
              <w:left w:val="nil"/>
              <w:bottom w:val="single" w:sz="12" w:space="0" w:color="auto"/>
              <w:right w:val="nil"/>
            </w:tcBorders>
            <w:tcMar>
              <w:top w:w="45" w:type="dxa"/>
              <w:left w:w="105" w:type="dxa"/>
              <w:bottom w:w="45" w:type="dxa"/>
              <w:right w:w="105" w:type="dxa"/>
            </w:tcMar>
            <w:vAlign w:val="bottom"/>
          </w:tcPr>
          <w:p w14:paraId="19BCC2F8" w14:textId="0C67EB82" w:rsidR="00423B0D" w:rsidRPr="00423B0D" w:rsidRDefault="00423B0D" w:rsidP="00423B0D">
            <w:pPr>
              <w:keepNext/>
              <w:spacing w:before="40" w:after="40"/>
              <w:rPr>
                <w:sz w:val="20"/>
                <w:szCs w:val="20"/>
              </w:rPr>
            </w:pPr>
            <w:r w:rsidRPr="00423B0D">
              <w:rPr>
                <w:sz w:val="20"/>
                <w:szCs w:val="20"/>
              </w:rPr>
              <w:t xml:space="preserve">(-33; </w:t>
            </w:r>
            <w:r>
              <w:rPr>
                <w:sz w:val="20"/>
                <w:szCs w:val="20"/>
              </w:rPr>
              <w:t>+</w:t>
            </w:r>
            <w:r w:rsidRPr="00423B0D">
              <w:rPr>
                <w:sz w:val="20"/>
                <w:szCs w:val="20"/>
              </w:rPr>
              <w:t>134)</w:t>
            </w:r>
          </w:p>
        </w:tc>
      </w:tr>
    </w:tbl>
    <w:p w14:paraId="6A5E52C0" w14:textId="77777777" w:rsidR="00423B0D" w:rsidRDefault="00423B0D" w:rsidP="00423B0D"/>
    <w:p w14:paraId="101F9E34" w14:textId="77777777" w:rsidR="008F0E83" w:rsidRDefault="00423B0D" w:rsidP="00423B0D">
      <w:r>
        <w:t>Resultatene viser at sykkelfelt reduserer ulykkesrisikoen for syklister, især på strekninger og for alvorlige ulykker</w:t>
      </w:r>
      <w:r w:rsidR="008F0E83">
        <w:t>. I kryss er det funnet en økning, men denne er meget usikker, og resultatene spriker mellom studiene.</w:t>
      </w:r>
    </w:p>
    <w:p w14:paraId="120C6C96" w14:textId="7D98EF0F" w:rsidR="00423B0D" w:rsidRDefault="008F0E83" w:rsidP="00423B0D">
      <w:r>
        <w:t>For det totale antall ulykker</w:t>
      </w:r>
      <w:r w:rsidR="00F110C8">
        <w:t xml:space="preserve"> (sykkel- og andre ulykker)</w:t>
      </w:r>
      <w:r>
        <w:t xml:space="preserve"> er det funnet økninger, både på strekninger og i kryss, men også disse er meget usikre.  </w:t>
      </w:r>
    </w:p>
    <w:p w14:paraId="158461B3" w14:textId="1A661815" w:rsidR="00BE30CB" w:rsidRPr="008F0E83" w:rsidRDefault="00BE30CB" w:rsidP="008F0E83">
      <w:r w:rsidRPr="003C43A7">
        <w:t xml:space="preserve">Også en rekke andre studier viser at sykkelfelt har </w:t>
      </w:r>
      <w:r w:rsidR="00F110C8">
        <w:t xml:space="preserve">lavere risiko </w:t>
      </w:r>
      <w:r w:rsidRPr="003C43A7">
        <w:t xml:space="preserve">og mindre alvorlige </w:t>
      </w:r>
      <w:r w:rsidR="00F110C8">
        <w:t>sykkel</w:t>
      </w:r>
      <w:r w:rsidRPr="003C43A7">
        <w:t>ulykker enn blandet trafikk, men uten at resultatene kan inkluderes i de sammenlagte resultatene i tabell 1.1.</w:t>
      </w:r>
      <w:r w:rsidR="008E35EB">
        <w:t>2</w:t>
      </w:r>
      <w:r w:rsidRPr="003C43A7">
        <w:t xml:space="preserve"> (</w:t>
      </w:r>
      <w:bookmarkStart w:id="27" w:name="_Hlk198215641"/>
      <w:proofErr w:type="spellStart"/>
      <w:r w:rsidRPr="003C43A7">
        <w:t>Buckley</w:t>
      </w:r>
      <w:proofErr w:type="spellEnd"/>
      <w:r w:rsidRPr="003C43A7">
        <w:t xml:space="preserve"> &amp; </w:t>
      </w:r>
      <w:proofErr w:type="spellStart"/>
      <w:r w:rsidRPr="003C43A7">
        <w:t>Wilke</w:t>
      </w:r>
      <w:proofErr w:type="spellEnd"/>
      <w:r w:rsidRPr="003C43A7">
        <w:t xml:space="preserve">, 2000, New Zealand; </w:t>
      </w:r>
      <w:proofErr w:type="spellStart"/>
      <w:r w:rsidRPr="003C43A7">
        <w:t>Hamann</w:t>
      </w:r>
      <w:proofErr w:type="spellEnd"/>
      <w:r w:rsidRPr="003C43A7">
        <w:t xml:space="preserve"> &amp; </w:t>
      </w:r>
      <w:proofErr w:type="spellStart"/>
      <w:r w:rsidRPr="003C43A7">
        <w:t>Peek-Asa</w:t>
      </w:r>
      <w:proofErr w:type="spellEnd"/>
      <w:r w:rsidRPr="003C43A7">
        <w:t xml:space="preserve">, 2013, USA; </w:t>
      </w:r>
      <w:proofErr w:type="spellStart"/>
      <w:r w:rsidRPr="003C43A7">
        <w:t>Poulos</w:t>
      </w:r>
      <w:proofErr w:type="spellEnd"/>
      <w:r w:rsidRPr="003C43A7">
        <w:t xml:space="preserve"> et al.</w:t>
      </w:r>
      <w:r w:rsidRPr="008F0E83">
        <w:t xml:space="preserve">, 2015, Australia; Prato et al., 2014, Danmark; </w:t>
      </w:r>
      <w:proofErr w:type="spellStart"/>
      <w:r w:rsidRPr="008F0E83">
        <w:t>Vavatsoulas</w:t>
      </w:r>
      <w:proofErr w:type="spellEnd"/>
      <w:r w:rsidRPr="008F0E83">
        <w:t xml:space="preserve"> et al., 2013, Danmark</w:t>
      </w:r>
      <w:r w:rsidR="008F0E83" w:rsidRPr="008F0E83">
        <w:t xml:space="preserve">; </w:t>
      </w:r>
      <w:proofErr w:type="spellStart"/>
      <w:r w:rsidR="008F0E83" w:rsidRPr="008F0E83">
        <w:t>Yeung</w:t>
      </w:r>
      <w:proofErr w:type="spellEnd"/>
      <w:r w:rsidR="008F0E83" w:rsidRPr="008F0E83">
        <w:t xml:space="preserve"> et al., 2023, Canada</w:t>
      </w:r>
      <w:bookmarkEnd w:id="27"/>
      <w:r w:rsidRPr="008F0E83">
        <w:t>).</w:t>
      </w:r>
    </w:p>
    <w:p w14:paraId="68AE9D63" w14:textId="1EA1542B" w:rsidR="004978A2" w:rsidRPr="004978A2" w:rsidRDefault="004978A2" w:rsidP="004978A2">
      <w:r>
        <w:t xml:space="preserve">Studier som har undersøkt hvordan sykkelfelt og utforming av sykkelfelt påvirker atferd blant syklister og andre trafikanter, er </w:t>
      </w:r>
      <w:r w:rsidR="00CE7A96">
        <w:t>viser følgende (</w:t>
      </w:r>
      <w:r w:rsidR="008D007E">
        <w:t xml:space="preserve">for flere referanser, se </w:t>
      </w:r>
      <w:r>
        <w:t>Høye</w:t>
      </w:r>
      <w:r w:rsidR="00CE7A96">
        <w:t xml:space="preserve">, </w:t>
      </w:r>
      <w:r>
        <w:t xml:space="preserve">2017). </w:t>
      </w:r>
    </w:p>
    <w:p w14:paraId="57C1751A" w14:textId="1339E785" w:rsidR="004978A2" w:rsidRPr="004978A2" w:rsidRDefault="000B3561" w:rsidP="00FD4C75">
      <w:r w:rsidRPr="004978A2">
        <w:rPr>
          <w:b/>
          <w:bCs/>
        </w:rPr>
        <w:t>F</w:t>
      </w:r>
      <w:r w:rsidR="00BE30CB" w:rsidRPr="004978A2">
        <w:rPr>
          <w:b/>
          <w:bCs/>
        </w:rPr>
        <w:t>orbikjøringsavstand</w:t>
      </w:r>
      <w:r w:rsidR="004978A2" w:rsidRPr="004978A2">
        <w:rPr>
          <w:b/>
          <w:bCs/>
        </w:rPr>
        <w:t>:</w:t>
      </w:r>
      <w:r w:rsidR="004978A2">
        <w:t xml:space="preserve"> </w:t>
      </w:r>
      <w:r w:rsidR="00BE30CB" w:rsidRPr="003C43A7">
        <w:t xml:space="preserve">Sykkelfelt </w:t>
      </w:r>
      <w:r w:rsidR="00FD4C75">
        <w:t>fører som regel til større forbikjøringsavstand, dvs. at biler holder større avstand til syklister under forbikjøringer (</w:t>
      </w:r>
      <w:bookmarkStart w:id="28" w:name="_Hlk198215665"/>
      <w:r w:rsidR="00B22E3F">
        <w:t xml:space="preserve">Mackenzie et al., 2021; </w:t>
      </w:r>
      <w:proofErr w:type="spellStart"/>
      <w:r w:rsidR="00FD4C75">
        <w:t>Nolan</w:t>
      </w:r>
      <w:proofErr w:type="spellEnd"/>
      <w:r w:rsidR="00FD4C75">
        <w:t xml:space="preserve"> et al., 2021</w:t>
      </w:r>
      <w:bookmarkEnd w:id="28"/>
      <w:r w:rsidR="00FD4C75">
        <w:t xml:space="preserve">). De </w:t>
      </w:r>
      <w:r w:rsidR="00BE30CB" w:rsidRPr="00FD4C75">
        <w:rPr>
          <w:i/>
          <w:iCs/>
        </w:rPr>
        <w:t>kan</w:t>
      </w:r>
      <w:r w:rsidR="00BE30CB" w:rsidRPr="003C43A7">
        <w:t xml:space="preserve"> </w:t>
      </w:r>
      <w:r w:rsidR="00FD4C75">
        <w:t xml:space="preserve">imidlertid </w:t>
      </w:r>
      <w:r w:rsidR="00BE30CB" w:rsidRPr="003C43A7">
        <w:t xml:space="preserve">føre til </w:t>
      </w:r>
      <w:r w:rsidR="00FD4C75">
        <w:t xml:space="preserve">mindre </w:t>
      </w:r>
      <w:r w:rsidR="00BE30CB" w:rsidRPr="003C43A7">
        <w:t>forbikjøring</w:t>
      </w:r>
      <w:r w:rsidR="00FD4C75">
        <w:t>savstand</w:t>
      </w:r>
      <w:r w:rsidR="00BE30CB" w:rsidRPr="003C43A7">
        <w:t>er når sykkelfeltet er smalt</w:t>
      </w:r>
      <w:r w:rsidR="00FD4C75">
        <w:t xml:space="preserve"> </w:t>
      </w:r>
      <w:r w:rsidR="00FD4C75" w:rsidRPr="004978A2">
        <w:t>(</w:t>
      </w:r>
      <w:r w:rsidR="00FD4C75">
        <w:t xml:space="preserve">Høye, 2017; </w:t>
      </w:r>
      <w:bookmarkStart w:id="29" w:name="_Hlk198215673"/>
      <w:r w:rsidR="00FD4C75" w:rsidRPr="004978A2">
        <w:t xml:space="preserve">Høye &amp; De Jong, </w:t>
      </w:r>
      <w:r w:rsidR="00EA76B1" w:rsidRPr="00EA76B1">
        <w:t>2023</w:t>
      </w:r>
      <w:r w:rsidR="00FD4C75" w:rsidRPr="004978A2">
        <w:t>)</w:t>
      </w:r>
      <w:r w:rsidR="00B22E3F">
        <w:t xml:space="preserve"> </w:t>
      </w:r>
      <w:bookmarkEnd w:id="29"/>
      <w:r w:rsidR="00B22E3F">
        <w:t>og på veger med veldig mye trafikk (Mackenzie et al., 2021)</w:t>
      </w:r>
      <w:r w:rsidR="00BE30CB" w:rsidRPr="003C43A7">
        <w:t xml:space="preserve">. Forklaringen er at syklister holder større avstand fra kantlinjen, samtidig som biler i mindre grad endrer sideplasseringen under forbikjøringer. </w:t>
      </w:r>
      <w:r w:rsidR="004978A2" w:rsidRPr="004978A2">
        <w:t xml:space="preserve">For smale sykkelfelt kan </w:t>
      </w:r>
      <w:r w:rsidR="00FD4C75">
        <w:t xml:space="preserve">også føre til at </w:t>
      </w:r>
      <w:r w:rsidR="004978A2" w:rsidRPr="004978A2">
        <w:t xml:space="preserve">syklister </w:t>
      </w:r>
      <w:r w:rsidR="004978A2">
        <w:t xml:space="preserve">oftere </w:t>
      </w:r>
      <w:r w:rsidR="004978A2" w:rsidRPr="004978A2">
        <w:t>benytte</w:t>
      </w:r>
      <w:r w:rsidR="004978A2">
        <w:t>r</w:t>
      </w:r>
      <w:r w:rsidR="004978A2" w:rsidRPr="004978A2">
        <w:t xml:space="preserve"> kjørefeltet</w:t>
      </w:r>
      <w:r w:rsidR="004978A2">
        <w:t xml:space="preserve">, </w:t>
      </w:r>
      <w:r w:rsidR="00FD4C75">
        <w:t>f.eks</w:t>
      </w:r>
      <w:r w:rsidR="004978A2">
        <w:t>.</w:t>
      </w:r>
      <w:r w:rsidR="004978A2" w:rsidRPr="004978A2">
        <w:t xml:space="preserve"> for å sykle forbi andre syklister</w:t>
      </w:r>
      <w:r w:rsidR="00FD4C75" w:rsidRPr="00FD4C75">
        <w:t xml:space="preserve"> </w:t>
      </w:r>
      <w:r w:rsidR="00FD4C75">
        <w:t>(</w:t>
      </w:r>
      <w:r w:rsidR="00FD4C75" w:rsidRPr="004978A2">
        <w:t>Høye &amp; De Jong,</w:t>
      </w:r>
      <w:r w:rsidR="00EA76B1">
        <w:rPr>
          <w:rStyle w:val="KommentarTegn1"/>
          <w:rFonts w:eastAsiaTheme="minorHAnsi"/>
          <w:color w:val="00B0F0"/>
        </w:rPr>
        <w:t xml:space="preserve"> </w:t>
      </w:r>
      <w:r w:rsidR="00EA76B1" w:rsidRPr="00EA76B1">
        <w:t>2023)</w:t>
      </w:r>
      <w:r w:rsidR="004978A2" w:rsidRPr="004978A2">
        <w:t xml:space="preserve">. </w:t>
      </w:r>
    </w:p>
    <w:p w14:paraId="1993E475" w14:textId="7806B521" w:rsidR="00BE30CB" w:rsidRPr="003C43A7" w:rsidRDefault="000B3561" w:rsidP="004978A2">
      <w:r>
        <w:rPr>
          <w:b/>
          <w:bCs/>
        </w:rPr>
        <w:t>S</w:t>
      </w:r>
      <w:r w:rsidR="00BE30CB" w:rsidRPr="003C43A7">
        <w:rPr>
          <w:b/>
          <w:bCs/>
        </w:rPr>
        <w:t>yklistenes sideplassering</w:t>
      </w:r>
      <w:r w:rsidR="004978A2">
        <w:rPr>
          <w:b/>
          <w:bCs/>
        </w:rPr>
        <w:t xml:space="preserve">: </w:t>
      </w:r>
      <w:r w:rsidR="00BE30CB" w:rsidRPr="003C43A7">
        <w:t>De fleste studier som har undersøkt virkningen av sykkelfelt på syklistenes sideplassering, viser at syklister på veger med sykkelfelt holder større avstand fra kantlinjen enn på veger uten sykkelfelt. Dette gjelder især på brede sykkelfelt og på veger med gateparkering. Når syklister blir forbikjørt av biler, sykler de fleste nærmere kantlinjen.</w:t>
      </w:r>
    </w:p>
    <w:p w14:paraId="5458EB39" w14:textId="40B51521" w:rsidR="00BE30CB" w:rsidRPr="003C43A7" w:rsidRDefault="000B3561" w:rsidP="004978A2">
      <w:r>
        <w:rPr>
          <w:b/>
          <w:bCs/>
        </w:rPr>
        <w:t>M</w:t>
      </w:r>
      <w:r w:rsidR="00BE30CB" w:rsidRPr="003C43A7">
        <w:rPr>
          <w:b/>
          <w:bCs/>
        </w:rPr>
        <w:t>otorkjøretøyenes fart</w:t>
      </w:r>
      <w:r w:rsidR="004978A2">
        <w:rPr>
          <w:b/>
          <w:bCs/>
        </w:rPr>
        <w:t xml:space="preserve">: </w:t>
      </w:r>
      <w:r w:rsidR="00BE30CB" w:rsidRPr="003C43A7">
        <w:t>Sykkelfelt kan føre til lavere fart blant motorkjøretøy</w:t>
      </w:r>
      <w:r w:rsidR="004978A2">
        <w:t xml:space="preserve">, spesielt </w:t>
      </w:r>
      <w:r w:rsidR="00BE30CB" w:rsidRPr="003C43A7">
        <w:t>på smale veger og på veger med mange syklister. Lavere fart vil, hvis alt annet er likt, øke sikkerheten for syklistene.</w:t>
      </w:r>
    </w:p>
    <w:p w14:paraId="542576FC" w14:textId="3B53F443" w:rsidR="00BE30CB" w:rsidRPr="003C43A7" w:rsidRDefault="000B3561" w:rsidP="004978A2">
      <w:r>
        <w:rPr>
          <w:b/>
          <w:bCs/>
        </w:rPr>
        <w:t>F</w:t>
      </w:r>
      <w:r w:rsidR="00BE30CB" w:rsidRPr="003C43A7">
        <w:rPr>
          <w:b/>
          <w:bCs/>
        </w:rPr>
        <w:t>ortaussykling</w:t>
      </w:r>
      <w:r w:rsidR="004978A2">
        <w:rPr>
          <w:b/>
          <w:bCs/>
        </w:rPr>
        <w:t xml:space="preserve">: </w:t>
      </w:r>
      <w:r w:rsidR="00BE30CB" w:rsidRPr="003C43A7">
        <w:t>På veger med sykkelfelt er det ofte færre som sykler på fortauet.</w:t>
      </w:r>
    </w:p>
    <w:p w14:paraId="469BB0E0" w14:textId="6B1607BA" w:rsidR="00BE30CB" w:rsidRPr="003C43A7" w:rsidRDefault="00BE30CB" w:rsidP="004978A2">
      <w:r w:rsidRPr="003C43A7">
        <w:rPr>
          <w:b/>
          <w:bCs/>
        </w:rPr>
        <w:t>Sykling mot kjøreretningen i sykkelfelt</w:t>
      </w:r>
      <w:r w:rsidR="004978A2">
        <w:rPr>
          <w:b/>
          <w:bCs/>
        </w:rPr>
        <w:t xml:space="preserve">: </w:t>
      </w:r>
      <w:r w:rsidRPr="003C43A7">
        <w:t xml:space="preserve">I sykkelfelt er det flere som sykler mot kjøreretningen enn på veger med blandet trafikk. Sykling mot kjøreretningen i sykkelfelt er ulovlig og kan føre til konflikter og ulykker. </w:t>
      </w:r>
    </w:p>
    <w:p w14:paraId="2024F270" w14:textId="77777777" w:rsidR="00012D79" w:rsidRDefault="00012D79" w:rsidP="00012D79">
      <w:pPr>
        <w:pStyle w:val="Overskrift3"/>
      </w:pPr>
      <w:r w:rsidRPr="00DE369F">
        <w:lastRenderedPageBreak/>
        <w:t xml:space="preserve">Sykkelfelt og </w:t>
      </w:r>
      <w:r>
        <w:t>kantsteins</w:t>
      </w:r>
      <w:r w:rsidRPr="00DE369F">
        <w:t>parkering</w:t>
      </w:r>
      <w:r w:rsidRPr="00886744">
        <w:t xml:space="preserve"> (avsnitt 3.3.4 i V122)</w:t>
      </w:r>
    </w:p>
    <w:tbl>
      <w:tblPr>
        <w:tblW w:w="9072" w:type="dxa"/>
        <w:tblCellMar>
          <w:left w:w="70" w:type="dxa"/>
          <w:right w:w="70" w:type="dxa"/>
        </w:tblCellMar>
        <w:tblLook w:val="04A0" w:firstRow="1" w:lastRow="0" w:firstColumn="1" w:lastColumn="0" w:noHBand="0" w:noVBand="1"/>
      </w:tblPr>
      <w:tblGrid>
        <w:gridCol w:w="9072"/>
      </w:tblGrid>
      <w:tr w:rsidR="00012D79" w:rsidRPr="00886744" w14:paraId="691FED62" w14:textId="77777777" w:rsidTr="000F44DF">
        <w:trPr>
          <w:trHeight w:val="300"/>
        </w:trPr>
        <w:tc>
          <w:tcPr>
            <w:tcW w:w="9072" w:type="dxa"/>
            <w:tcBorders>
              <w:top w:val="nil"/>
              <w:left w:val="nil"/>
              <w:bottom w:val="nil"/>
              <w:right w:val="nil"/>
            </w:tcBorders>
            <w:shd w:val="clear" w:color="auto" w:fill="D9D9D9" w:themeFill="background1" w:themeFillShade="D9"/>
            <w:noWrap/>
            <w:vAlign w:val="bottom"/>
            <w:hideMark/>
          </w:tcPr>
          <w:p w14:paraId="44756EB5" w14:textId="77777777" w:rsidR="00012D79" w:rsidRDefault="00012D79" w:rsidP="000F44DF">
            <w:r>
              <w:t xml:space="preserve">Kombinasjonen av sykkelfelt og </w:t>
            </w:r>
            <w:proofErr w:type="spellStart"/>
            <w:r>
              <w:t>kansteinsparkering</w:t>
            </w:r>
            <w:proofErr w:type="spellEnd"/>
            <w:r>
              <w:t xml:space="preserve"> er generelt frarådet i Norge, men kan benyttes under visse forutsetninger: Lav fartsgrense og trafikkmengde, utvidet sykkelfeltbredde (+0,25 meter) og sikkerhetssone (0,5 meter). </w:t>
            </w:r>
          </w:p>
          <w:p w14:paraId="6824DC2F" w14:textId="77777777" w:rsidR="00012D79" w:rsidRPr="00886744" w:rsidRDefault="00012D79" w:rsidP="000F44DF">
            <w:pPr>
              <w:keepLines w:val="0"/>
              <w:spacing w:before="0" w:after="0"/>
              <w:rPr>
                <w:rFonts w:ascii="Times New Roman" w:eastAsia="Times New Roman" w:hAnsi="Times New Roman" w:cs="Times New Roman"/>
                <w:sz w:val="24"/>
                <w:szCs w:val="24"/>
              </w:rPr>
            </w:pPr>
          </w:p>
        </w:tc>
      </w:tr>
    </w:tbl>
    <w:p w14:paraId="08E2C18A" w14:textId="4072B690" w:rsidR="00012D79" w:rsidRPr="00886744" w:rsidRDefault="00012D79" w:rsidP="00012D79">
      <w:r w:rsidRPr="003C43A7">
        <w:t>Gateparkering ved siden av sykkelfelt gjør det utrygt å sykle i sykkelfelt og medfører økt risiko for dørulykker</w:t>
      </w:r>
      <w:r w:rsidR="00DB7BF7">
        <w:t>, med mindre det er nok plass mellom sykkelfelt og parkerende biler (Høye &amp; De Jong, 2023)</w:t>
      </w:r>
      <w:r w:rsidRPr="003C43A7">
        <w:t>. Åpne bildører bruker opp til 1,2 meter fra den parkerte bilen, noe som gjør at syklister i sykkelfelt ofte er i «</w:t>
      </w:r>
      <w:proofErr w:type="spellStart"/>
      <w:r w:rsidRPr="003C43A7">
        <w:t>dørsonen</w:t>
      </w:r>
      <w:proofErr w:type="spellEnd"/>
      <w:r w:rsidRPr="003C43A7">
        <w:t>», selv om de sykler i midten av sykkelfeltet eller innerst mot kjørefeltet for motorkjøretøy (</w:t>
      </w:r>
      <w:bookmarkStart w:id="30" w:name="_Hlk198215684"/>
      <w:r w:rsidRPr="003C43A7">
        <w:t>Pai, 2011</w:t>
      </w:r>
      <w:bookmarkEnd w:id="30"/>
      <w:r w:rsidRPr="003C43A7">
        <w:t>).</w:t>
      </w:r>
      <w:r>
        <w:t xml:space="preserve"> Virkninger på ulykker av gateparkering er beskrevet i </w:t>
      </w:r>
      <w:hyperlink r:id="rId25" w:history="1">
        <w:r w:rsidRPr="005F1ADE">
          <w:rPr>
            <w:rStyle w:val="Hyperkobling"/>
          </w:rPr>
          <w:t>kapittel 3.15</w:t>
        </w:r>
      </w:hyperlink>
      <w:r>
        <w:t>.</w:t>
      </w:r>
    </w:p>
    <w:p w14:paraId="23F3451C" w14:textId="2DAD622B" w:rsidR="00BE30CB" w:rsidRDefault="00BE30CB" w:rsidP="006F1161">
      <w:pPr>
        <w:pStyle w:val="Overskrift2"/>
        <w:rPr>
          <w:rFonts w:eastAsiaTheme="minorHAnsi"/>
        </w:rPr>
      </w:pPr>
      <w:bookmarkStart w:id="31" w:name="_Toc206753741"/>
      <w:r>
        <w:rPr>
          <w:rFonts w:eastAsiaTheme="minorHAnsi"/>
        </w:rPr>
        <w:t>Veger for gående og syklende, generelle utformingskrav (avsnitt 3.4 i V122)</w:t>
      </w:r>
      <w:bookmarkEnd w:id="31"/>
    </w:p>
    <w:tbl>
      <w:tblPr>
        <w:tblW w:w="9072" w:type="dxa"/>
        <w:tblCellMar>
          <w:left w:w="70" w:type="dxa"/>
          <w:right w:w="70" w:type="dxa"/>
        </w:tblCellMar>
        <w:tblLook w:val="04A0" w:firstRow="1" w:lastRow="0" w:firstColumn="1" w:lastColumn="0" w:noHBand="0" w:noVBand="1"/>
      </w:tblPr>
      <w:tblGrid>
        <w:gridCol w:w="9072"/>
      </w:tblGrid>
      <w:tr w:rsidR="00E73DDD" w:rsidRPr="00886744" w14:paraId="046AAF91" w14:textId="77777777" w:rsidTr="00E73DDD">
        <w:trPr>
          <w:trHeight w:val="300"/>
        </w:trPr>
        <w:tc>
          <w:tcPr>
            <w:tcW w:w="9072" w:type="dxa"/>
            <w:tcBorders>
              <w:top w:val="nil"/>
              <w:left w:val="nil"/>
              <w:bottom w:val="nil"/>
              <w:right w:val="nil"/>
            </w:tcBorders>
            <w:shd w:val="clear" w:color="auto" w:fill="D9D9D9" w:themeFill="background1" w:themeFillShade="D9"/>
            <w:noWrap/>
            <w:vAlign w:val="bottom"/>
          </w:tcPr>
          <w:p w14:paraId="61DD5DF7" w14:textId="4C2A8708" w:rsidR="003D22CE" w:rsidRPr="00886744" w:rsidRDefault="003D22CE" w:rsidP="00864260">
            <w:r>
              <w:t>Generelle krav til utforming av sykkelveger gang- og sykkelveger er beskrevet i V122 og N100 for bl.a.</w:t>
            </w:r>
            <w:r w:rsidR="00864260">
              <w:t xml:space="preserve"> g</w:t>
            </w:r>
            <w:r>
              <w:t>eometrisk utforming</w:t>
            </w:r>
            <w:r w:rsidR="00864260">
              <w:t xml:space="preserve"> (t</w:t>
            </w:r>
            <w:r>
              <w:t>verrprofil, vertikal- og horisontalkurvatur, stigning, tverrfall, fri høyde, minste avstand og trafikkdeler mellom gang- og/eller sykkelveg og kjøreveg</w:t>
            </w:r>
            <w:r w:rsidR="00864260">
              <w:t>), s</w:t>
            </w:r>
            <w:r>
              <w:t>ideterreng</w:t>
            </w:r>
            <w:r w:rsidR="00864260">
              <w:t xml:space="preserve"> og b</w:t>
            </w:r>
            <w:r>
              <w:t>elysning</w:t>
            </w:r>
            <w:r w:rsidR="00864260">
              <w:t>.</w:t>
            </w:r>
          </w:p>
        </w:tc>
      </w:tr>
    </w:tbl>
    <w:p w14:paraId="2ADAE8FC" w14:textId="46CD6CCE" w:rsidR="003D22CE" w:rsidRDefault="003D22CE" w:rsidP="003D22CE">
      <w:r>
        <w:t xml:space="preserve">Virkning på ulykker av </w:t>
      </w:r>
      <w:r w:rsidRPr="00864260">
        <w:rPr>
          <w:b/>
          <w:bCs/>
        </w:rPr>
        <w:t>belysning</w:t>
      </w:r>
      <w:r>
        <w:t xml:space="preserve"> av sykkelveger og gang- og sykkelveger er beskrevet i </w:t>
      </w:r>
      <w:hyperlink r:id="rId26" w:history="1">
        <w:r w:rsidRPr="003D22CE">
          <w:rPr>
            <w:rStyle w:val="Hyperkobling"/>
          </w:rPr>
          <w:t>kapittel 1.18 Vegbelysning</w:t>
        </w:r>
      </w:hyperlink>
      <w:r>
        <w:t xml:space="preserve">. </w:t>
      </w:r>
    </w:p>
    <w:p w14:paraId="073DBE95" w14:textId="022523F2" w:rsidR="00BE30CB" w:rsidRDefault="00BE30CB" w:rsidP="006F1161">
      <w:pPr>
        <w:pStyle w:val="Overskrift2"/>
        <w:rPr>
          <w:rFonts w:eastAsiaTheme="minorHAnsi"/>
        </w:rPr>
      </w:pPr>
      <w:bookmarkStart w:id="32" w:name="_Toc206753742"/>
      <w:r>
        <w:rPr>
          <w:rFonts w:eastAsiaTheme="minorHAnsi"/>
        </w:rPr>
        <w:t>Gang- og sykkelveg (avsnitt 3.4.1 i V122)</w:t>
      </w:r>
      <w:bookmarkEnd w:id="32"/>
    </w:p>
    <w:tbl>
      <w:tblPr>
        <w:tblW w:w="9072" w:type="dxa"/>
        <w:tblCellMar>
          <w:left w:w="70" w:type="dxa"/>
          <w:right w:w="70" w:type="dxa"/>
        </w:tblCellMar>
        <w:tblLook w:val="04A0" w:firstRow="1" w:lastRow="0" w:firstColumn="1" w:lastColumn="0" w:noHBand="0" w:noVBand="1"/>
      </w:tblPr>
      <w:tblGrid>
        <w:gridCol w:w="9072"/>
      </w:tblGrid>
      <w:tr w:rsidR="00E73DDD" w:rsidRPr="00886744" w14:paraId="3FBE25EE"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2C6E4C23" w14:textId="655CB66F" w:rsidR="00E73DDD" w:rsidRDefault="003D22CE" w:rsidP="002A7978">
            <w:r>
              <w:t>En g</w:t>
            </w:r>
            <w:r w:rsidRPr="003D22CE">
              <w:t xml:space="preserve">ang- og sykkelveg </w:t>
            </w:r>
            <w:r>
              <w:t xml:space="preserve">(GS-veg) </w:t>
            </w:r>
            <w:r w:rsidRPr="003D22CE">
              <w:t xml:space="preserve">er </w:t>
            </w:r>
            <w:r>
              <w:t xml:space="preserve">i </w:t>
            </w:r>
            <w:proofErr w:type="spellStart"/>
            <w:r>
              <w:t>hht</w:t>
            </w:r>
            <w:proofErr w:type="spellEnd"/>
            <w:r>
              <w:t>. V122 «</w:t>
            </w:r>
            <w:r w:rsidRPr="003D22CE">
              <w:t>en veg som ved offentlig trafikkskilt er bestemt for kombinert gang- og sykkeltrafikk. Vegen er skilt fra annen veg med gressplen, grøft, rekkverk, kantstein eller på annen måte.</w:t>
            </w:r>
            <w:r>
              <w:t xml:space="preserve">» Krav til bruk av tiltaket, utforming og skilting er nærmere beskrevet i V122, N100, N300 og N302. </w:t>
            </w:r>
          </w:p>
          <w:p w14:paraId="6549152C" w14:textId="1E6853E9" w:rsidR="003D22CE" w:rsidRPr="00886744" w:rsidRDefault="003D22CE" w:rsidP="002A7978">
            <w:r>
              <w:t xml:space="preserve">V122 beskriver GS-veger som mest egnet utenfor tettsteder med få kryss og avkjørsler, samt i parker i byområder. </w:t>
            </w:r>
          </w:p>
        </w:tc>
      </w:tr>
    </w:tbl>
    <w:p w14:paraId="7B83CD9A" w14:textId="12C52476" w:rsidR="008F0E83" w:rsidRPr="003C43A7" w:rsidRDefault="008F0E83" w:rsidP="008F0E83">
      <w:r>
        <w:t xml:space="preserve">De følgende studiene har undersøkt virkningen av GS-veg på ulykkesrisikoen blant syklister: </w:t>
      </w:r>
    </w:p>
    <w:p w14:paraId="0E22B4C1" w14:textId="7E622B3B" w:rsidR="00BE30CB" w:rsidRPr="007C5FB9" w:rsidRDefault="00BE30CB" w:rsidP="00956076">
      <w:pPr>
        <w:ind w:left="426"/>
        <w:rPr>
          <w:color w:val="0070C0"/>
          <w:lang w:val="da-DK"/>
        </w:rPr>
      </w:pPr>
      <w:bookmarkStart w:id="33" w:name="_Hlk198216029"/>
      <w:r w:rsidRPr="007C5FB9">
        <w:rPr>
          <w:lang w:val="da-DK"/>
        </w:rPr>
        <w:t>De Rome et al., 2013 (Australia</w:t>
      </w:r>
      <w:r w:rsidR="007C5FB9">
        <w:rPr>
          <w:lang w:val="da-DK"/>
        </w:rPr>
        <w:t>)</w:t>
      </w:r>
      <w:r w:rsidRPr="007C5FB9">
        <w:rPr>
          <w:color w:val="0070C0"/>
          <w:lang w:val="da-DK"/>
        </w:rPr>
        <w:br/>
      </w:r>
      <w:r w:rsidRPr="007C5FB9">
        <w:rPr>
          <w:lang w:val="da-DK"/>
        </w:rPr>
        <w:t>Cripton et al., 2015 (Canada)</w:t>
      </w:r>
      <w:r w:rsidR="007C5FB9" w:rsidRPr="007C5FB9">
        <w:rPr>
          <w:color w:val="0070C0"/>
          <w:lang w:val="da-DK"/>
        </w:rPr>
        <w:t xml:space="preserve"> </w:t>
      </w:r>
      <w:r w:rsidRPr="007C5FB9">
        <w:rPr>
          <w:color w:val="0070C0"/>
          <w:lang w:val="da-DK"/>
        </w:rPr>
        <w:br/>
      </w:r>
      <w:r w:rsidRPr="007C5FB9">
        <w:rPr>
          <w:lang w:val="da-DK"/>
        </w:rPr>
        <w:t>Poulos et al., 2015 (Australia)</w:t>
      </w:r>
      <w:r w:rsidR="007C5FB9" w:rsidRPr="007C5FB9">
        <w:rPr>
          <w:color w:val="0070C0"/>
          <w:lang w:val="da-DK"/>
        </w:rPr>
        <w:t xml:space="preserve"> </w:t>
      </w:r>
      <w:r w:rsidR="00A72BCC" w:rsidRPr="007C5FB9">
        <w:rPr>
          <w:color w:val="0070C0"/>
          <w:lang w:val="da-DK"/>
        </w:rPr>
        <w:br/>
      </w:r>
      <w:r w:rsidR="00A72BCC" w:rsidRPr="007C5FB9">
        <w:rPr>
          <w:lang w:val="da-DK"/>
        </w:rPr>
        <w:t>Guirao et al., 2023 (Spania)</w:t>
      </w:r>
    </w:p>
    <w:bookmarkEnd w:id="33"/>
    <w:p w14:paraId="69AA11B7" w14:textId="73EAD73E" w:rsidR="007C5FB9" w:rsidRDefault="007C5FB9" w:rsidP="007C5FB9">
      <w:r>
        <w:t xml:space="preserve">Sammenlagt viser resultatene at syklister </w:t>
      </w:r>
      <w:r w:rsidR="008D007E">
        <w:t xml:space="preserve">i gjennomsnitt </w:t>
      </w:r>
      <w:r>
        <w:t>har 86 prosent høyere ulykkesrisiko</w:t>
      </w:r>
      <w:r w:rsidR="00DB7BF7">
        <w:t xml:space="preserve"> </w:t>
      </w:r>
      <w:r w:rsidR="00DB7BF7" w:rsidRPr="00DB7BF7">
        <w:t>(</w:t>
      </w:r>
      <w:r w:rsidR="00DB7BF7">
        <w:t>+</w:t>
      </w:r>
      <w:r w:rsidR="00DB7BF7" w:rsidRPr="00DB7BF7">
        <w:t xml:space="preserve">55; </w:t>
      </w:r>
      <w:r w:rsidR="00DB7BF7">
        <w:t>+</w:t>
      </w:r>
      <w:r w:rsidR="00DB7BF7" w:rsidRPr="00DB7BF7">
        <w:t>124)</w:t>
      </w:r>
      <w:r>
        <w:t xml:space="preserve"> på GS-veger enn i blandet trafikk. </w:t>
      </w:r>
      <w:r w:rsidR="00E35BEE">
        <w:t xml:space="preserve">Dette gjelder alle sykkelulykker både på strekninger og i kryss. Det foreligger ingen resultater spesifikt for kun strekninger eller kryss. Alle studiene har kontrollert for antall syklister, dvs. at forskjeller i hvor mye det sykles på GS- og andre veger, ikke kan ha påvirket resultatet. </w:t>
      </w:r>
    </w:p>
    <w:p w14:paraId="42150E50" w14:textId="6E75D8C4" w:rsidR="008D007E" w:rsidRDefault="008D007E" w:rsidP="007C5FB9">
      <w:r>
        <w:lastRenderedPageBreak/>
        <w:t>Studiene har sammenlignet ulykkesrisiko på GS-veger og på veger hvor syklister faktisk sykler i blandet trafikk</w:t>
      </w:r>
      <w:r w:rsidR="00E35BEE">
        <w:t>, noe som kan være forskjellig mellom studiene</w:t>
      </w:r>
      <w:r>
        <w:t xml:space="preserve">. Man kan anta at sykling i blandet trafikk foregår mest på veger med forholdsvis lite trafikk og lav fart, mens GS-veger ofte finnes langs veger med mye trafikk og høy fart. Resultatet kan derfor ikke tolkes slik at risikoen for syklister </w:t>
      </w:r>
      <w:r w:rsidR="00E35BEE">
        <w:t xml:space="preserve">alltid </w:t>
      </w:r>
      <w:r>
        <w:t>vil øke når man installerer en GS-veg i forhold til hvis man ikke gjør det</w:t>
      </w:r>
      <w:r w:rsidR="00E35BEE">
        <w:t xml:space="preserve">. Det viser likevel at GS-veger kan være uheldige hvis det finnes andre løsninger hvor syklister og fotgjengere i større grad er separert, eller hvor det er lite risiko forbundet med blandet trafikk. </w:t>
      </w:r>
    </w:p>
    <w:p w14:paraId="11A59F98" w14:textId="2502E798" w:rsidR="00BE30CB" w:rsidRPr="00CF1CAB" w:rsidRDefault="00BE30CB" w:rsidP="006F1161">
      <w:pPr>
        <w:pStyle w:val="Overskrift2"/>
        <w:rPr>
          <w:rFonts w:eastAsiaTheme="minorHAnsi"/>
        </w:rPr>
      </w:pPr>
      <w:bookmarkStart w:id="34" w:name="_Toc206753743"/>
      <w:r w:rsidRPr="00CF1CAB">
        <w:rPr>
          <w:rFonts w:eastAsiaTheme="minorHAnsi"/>
        </w:rPr>
        <w:t>Sykkelveg</w:t>
      </w:r>
      <w:r>
        <w:rPr>
          <w:rFonts w:eastAsiaTheme="minorHAnsi"/>
        </w:rPr>
        <w:t xml:space="preserve"> med eller uten fortau (avsnitt 3.4.2 i V122)</w:t>
      </w:r>
      <w:bookmarkEnd w:id="34"/>
    </w:p>
    <w:tbl>
      <w:tblPr>
        <w:tblW w:w="9072" w:type="dxa"/>
        <w:tblCellMar>
          <w:left w:w="70" w:type="dxa"/>
          <w:right w:w="70" w:type="dxa"/>
        </w:tblCellMar>
        <w:tblLook w:val="04A0" w:firstRow="1" w:lastRow="0" w:firstColumn="1" w:lastColumn="0" w:noHBand="0" w:noVBand="1"/>
      </w:tblPr>
      <w:tblGrid>
        <w:gridCol w:w="9072"/>
      </w:tblGrid>
      <w:tr w:rsidR="00E73DDD" w:rsidRPr="00886744" w14:paraId="4A2B190E"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64A96763" w14:textId="33142F10" w:rsidR="00E73DDD" w:rsidRDefault="0015729C" w:rsidP="0015729C">
            <w:r>
              <w:t xml:space="preserve">Standardløsningen for sykkelveg i Norge er (i motsetning til mange andre land) </w:t>
            </w:r>
            <w:r w:rsidR="00DC5BEC">
              <w:t>a</w:t>
            </w:r>
            <w:r>
              <w:t xml:space="preserve">t sykkelvegen er </w:t>
            </w:r>
            <w:r w:rsidRPr="0015729C">
              <w:rPr>
                <w:b/>
                <w:bCs/>
              </w:rPr>
              <w:t>dobbeltrettet</w:t>
            </w:r>
            <w:r>
              <w:t xml:space="preserve">. I </w:t>
            </w:r>
            <w:proofErr w:type="spellStart"/>
            <w:r>
              <w:t>hht</w:t>
            </w:r>
            <w:proofErr w:type="spellEnd"/>
            <w:r>
              <w:t xml:space="preserve">. V122 kan </w:t>
            </w:r>
            <w:r w:rsidR="002F62E9" w:rsidRPr="00D9461C">
              <w:t xml:space="preserve">sykkelveg </w:t>
            </w:r>
            <w:r w:rsidR="002F62E9">
              <w:t xml:space="preserve">med fortau </w:t>
            </w:r>
            <w:r w:rsidR="003E5CCB">
              <w:t xml:space="preserve">benyttes av syklister i begge retninger, og den kan ha gul midtlinje. Sykkelvegen er skiltet som sykkelveg, den er atskilt fra fortauet med ikke-avvisende kantstein, og er den går langs en veg, er sykkelvegen plassert mellom fortau og vegen. Bredden skal være på 2,5-4 meter på sykkelvegen og 1,5-2,5 meter på fortauet, avhengig av antall syklister og gående. For syklister er det ikke ulovlig å sykle på fortauet. Fotgjengere kan benytte sykkelveien kun «dersom det ikke er mulig eller rimelig å bruke fortauet». </w:t>
            </w:r>
          </w:p>
          <w:p w14:paraId="4485556D" w14:textId="5475EC2E" w:rsidR="0015729C" w:rsidRPr="00886744" w:rsidRDefault="0015729C" w:rsidP="00E35BEE">
            <w:r>
              <w:t xml:space="preserve">På en </w:t>
            </w:r>
            <w:r w:rsidRPr="0015729C">
              <w:rPr>
                <w:b/>
                <w:bCs/>
              </w:rPr>
              <w:t>enveisregulert sykkelveg</w:t>
            </w:r>
            <w:r>
              <w:t xml:space="preserve"> med fortau må enveisreguleringen </w:t>
            </w:r>
            <w:r w:rsidR="00777866">
              <w:t xml:space="preserve">være skiltet, </w:t>
            </w:r>
            <w:r>
              <w:t xml:space="preserve">og i kryss må sykkelvegen rampes med til sykkelfelt, med tilsvarende skilting. Minstebredden på sykkelveien er på 2,2 meter. Ellers er utformingen som for sykkelveg med fortau. Enveisregulert sykkelveg med fortau er i </w:t>
            </w:r>
            <w:proofErr w:type="spellStart"/>
            <w:r>
              <w:t>htt</w:t>
            </w:r>
            <w:proofErr w:type="spellEnd"/>
            <w:r>
              <w:t xml:space="preserve">. V122 </w:t>
            </w:r>
            <w:r w:rsidR="00E35BEE" w:rsidRPr="00E35BEE">
              <w:t xml:space="preserve">egnet på utfordrende strekninger med mye biltrafikk og fartsgrense 40-50 km/t, og </w:t>
            </w:r>
            <w:r>
              <w:t xml:space="preserve">aktuelt når det er mange syklister og når den inngår i en sammenhengende sykkelrute. Den er mest egnet på strekninger med lengre avstander mellom kryss.  </w:t>
            </w:r>
          </w:p>
        </w:tc>
      </w:tr>
    </w:tbl>
    <w:p w14:paraId="3A9E0F3C" w14:textId="63EBD632" w:rsidR="00B63401" w:rsidRDefault="00B63401" w:rsidP="00B63401">
      <w:r>
        <w:t xml:space="preserve">I andre land </w:t>
      </w:r>
      <w:r w:rsidR="009C696B">
        <w:t xml:space="preserve">er </w:t>
      </w:r>
      <w:r>
        <w:t>sykkelveier ofte</w:t>
      </w:r>
      <w:r w:rsidR="009C696B">
        <w:t xml:space="preserve"> i utgangspunktet enveisregulert, mens dobbeltrettet sykkeltrafikk kun er tillatt når dette er skiltet. Det gjelder også andre krav til bredder og skiller mellom sykkelveg og fortau (jf. Høye </w:t>
      </w:r>
      <w:r w:rsidR="00EA76B1">
        <w:t>&amp;</w:t>
      </w:r>
      <w:r w:rsidR="009C696B">
        <w:t xml:space="preserve"> de Jong, </w:t>
      </w:r>
      <w:r w:rsidR="00EA76B1" w:rsidRPr="00EA76B1">
        <w:t>2023</w:t>
      </w:r>
      <w:r w:rsidR="009C696B">
        <w:t xml:space="preserve">). </w:t>
      </w:r>
      <w:r w:rsidR="003E5CCB">
        <w:t xml:space="preserve">I tillegg er det </w:t>
      </w:r>
      <w:r w:rsidR="009C696B">
        <w:t xml:space="preserve">i andre land </w:t>
      </w:r>
      <w:r w:rsidR="003E5CCB">
        <w:t xml:space="preserve">ofte ikke lov for syklister å benytte fortauet, og heller ikke for fotgjengere å benytte sykkelvegen. </w:t>
      </w:r>
      <w:r w:rsidR="00E35BEE">
        <w:t xml:space="preserve">En annen forskjell er at enveisregulerte sykkelveger i Norge må nedrampes til sykkelfelt før kryss, mens de i andre land ofte er utformet som sykkelveg helt fram til krysset. </w:t>
      </w:r>
      <w:r>
        <w:t xml:space="preserve"> </w:t>
      </w:r>
    </w:p>
    <w:p w14:paraId="6DC5DDE3" w14:textId="6A798ECC" w:rsidR="0015729C" w:rsidRDefault="0015729C" w:rsidP="0015729C">
      <w:pPr>
        <w:pStyle w:val="Overskrift3"/>
      </w:pPr>
      <w:r>
        <w:t>Sykkelveg vs. blandet trafikk</w:t>
      </w:r>
    </w:p>
    <w:p w14:paraId="1BA995EE" w14:textId="1D428082" w:rsidR="00F735F1" w:rsidRDefault="00BE30CB" w:rsidP="00F735F1">
      <w:r w:rsidRPr="00CF1CAB">
        <w:t xml:space="preserve">De følgende studiene har </w:t>
      </w:r>
      <w:r w:rsidR="00F735F1">
        <w:t xml:space="preserve">sammenlignet ulykkesrisikoen mellom sykkelveger (med og uten enveisregulering) og blandet trafikk: </w:t>
      </w:r>
    </w:p>
    <w:p w14:paraId="3914E493" w14:textId="19F5A8F8" w:rsidR="00BE30CB" w:rsidRPr="00AB1F62" w:rsidRDefault="00AB1F62" w:rsidP="00AB1F62">
      <w:pPr>
        <w:ind w:left="567"/>
      </w:pPr>
      <w:bookmarkStart w:id="35" w:name="_Hlk198216048"/>
      <w:r>
        <w:lastRenderedPageBreak/>
        <w:t>Jensen, 2006A (Danmark): Enveisregulert sykkelveg</w:t>
      </w:r>
      <w:r>
        <w:br/>
      </w:r>
      <w:proofErr w:type="spellStart"/>
      <w:r>
        <w:t>Agerholm</w:t>
      </w:r>
      <w:proofErr w:type="spellEnd"/>
      <w:r>
        <w:t xml:space="preserve"> et al., 2008 (Danmark): Enveisregulert sykkelveg</w:t>
      </w:r>
      <w:r>
        <w:br/>
      </w:r>
      <w:r w:rsidRPr="00AB1F62">
        <w:t>Lusk et al., 2011 (Canada): Dobbeltrettet sykkelveg</w:t>
      </w:r>
      <w:r>
        <w:br/>
      </w:r>
      <w:proofErr w:type="spellStart"/>
      <w:r w:rsidRPr="00AB1F62">
        <w:t>Teschke</w:t>
      </w:r>
      <w:proofErr w:type="spellEnd"/>
      <w:r w:rsidRPr="00AB1F62">
        <w:t xml:space="preserve"> et al., 2012 (Canada): Dobbeltrettet sykkelveg</w:t>
      </w:r>
      <w:r w:rsidR="00354628">
        <w:br/>
      </w:r>
      <w:r w:rsidR="0016097D" w:rsidRPr="00AB1F62">
        <w:t>Harris et al., 201</w:t>
      </w:r>
      <w:r w:rsidR="0016097D">
        <w:t>3</w:t>
      </w:r>
      <w:r w:rsidR="0016097D" w:rsidRPr="00AB1F62">
        <w:t xml:space="preserve"> (Canada): Dobbeltrettet sykkelveg</w:t>
      </w:r>
      <w:r w:rsidR="0016097D" w:rsidRPr="00354628">
        <w:t xml:space="preserve"> </w:t>
      </w:r>
      <w:r w:rsidR="0016097D">
        <w:br/>
      </w:r>
      <w:proofErr w:type="spellStart"/>
      <w:r w:rsidR="00354628" w:rsidRPr="00354628">
        <w:t>Poulos</w:t>
      </w:r>
      <w:proofErr w:type="spellEnd"/>
      <w:r w:rsidR="00354628" w:rsidRPr="00354628">
        <w:t xml:space="preserve"> et al., 2015 (Australia)</w:t>
      </w:r>
      <w:r w:rsidR="00354628">
        <w:t xml:space="preserve">: </w:t>
      </w:r>
      <w:r w:rsidR="00354628" w:rsidRPr="00AB1F62">
        <w:t>Dobbeltrettet sykkelveg</w:t>
      </w:r>
      <w:r w:rsidR="00354628">
        <w:br/>
      </w:r>
      <w:r w:rsidRPr="00AB1F62">
        <w:t>Wall et al., 2016 (USA): Dobbeltrettet sykkelveg</w:t>
      </w:r>
      <w:r>
        <w:br/>
        <w:t>Cicchino et al., 2020 (USA): Enveisregulert / d</w:t>
      </w:r>
      <w:r w:rsidRPr="00AB1F62">
        <w:t>obbeltrettet sykkelveg</w:t>
      </w:r>
      <w:r>
        <w:br/>
      </w:r>
      <w:r w:rsidRPr="00AB1F62">
        <w:t>Ling et al., 2020 (Canada): Enveisregulert sykkelveg</w:t>
      </w:r>
      <w:r>
        <w:br/>
      </w:r>
      <w:r w:rsidRPr="00AB1F62">
        <w:t xml:space="preserve">van </w:t>
      </w:r>
      <w:proofErr w:type="spellStart"/>
      <w:r w:rsidRPr="00AB1F62">
        <w:t>Petegem</w:t>
      </w:r>
      <w:proofErr w:type="spellEnd"/>
      <w:r w:rsidRPr="00AB1F62">
        <w:t xml:space="preserve"> et al., 2021 (Nederland): Enveisregulert sykkelveg</w:t>
      </w:r>
      <w:r>
        <w:br/>
      </w:r>
      <w:proofErr w:type="spellStart"/>
      <w:r w:rsidRPr="00AB1F62">
        <w:t>Kapousizis</w:t>
      </w:r>
      <w:proofErr w:type="spellEnd"/>
      <w:r w:rsidRPr="00AB1F62">
        <w:t xml:space="preserve"> et al., 2021 (Storbritannia): Enveisregulert sykkelveg</w:t>
      </w:r>
      <w:r>
        <w:br/>
      </w:r>
      <w:proofErr w:type="spellStart"/>
      <w:r w:rsidRPr="00AB1F62">
        <w:t>Dadashova</w:t>
      </w:r>
      <w:proofErr w:type="spellEnd"/>
      <w:r w:rsidRPr="00AB1F62">
        <w:t xml:space="preserve"> et al., 2022 (USA): Enveisregulert sykkelveg</w:t>
      </w:r>
      <w:r>
        <w:br/>
      </w:r>
      <w:proofErr w:type="spellStart"/>
      <w:r w:rsidRPr="00AB1F62">
        <w:t>Deliali</w:t>
      </w:r>
      <w:proofErr w:type="spellEnd"/>
      <w:r w:rsidRPr="00AB1F62">
        <w:t xml:space="preserve"> et al., 2023 (USA): Dobbeltrettet sykkelveg</w:t>
      </w:r>
      <w:r>
        <w:br/>
      </w:r>
      <w:proofErr w:type="spellStart"/>
      <w:r w:rsidRPr="00AB1F62">
        <w:t>Schröter</w:t>
      </w:r>
      <w:proofErr w:type="spellEnd"/>
      <w:r w:rsidRPr="00AB1F62">
        <w:t xml:space="preserve"> et al., 2023 (Tyskland): Enveisregulert sykkelv</w:t>
      </w:r>
      <w:r w:rsidRPr="00354628">
        <w:t>eg</w:t>
      </w:r>
      <w:r w:rsidRPr="00354628">
        <w:br/>
      </w:r>
      <w:r w:rsidRPr="00AB1F62">
        <w:t xml:space="preserve">Abbasi &amp; </w:t>
      </w:r>
      <w:proofErr w:type="spellStart"/>
      <w:r w:rsidRPr="00AB1F62">
        <w:t>Ko</w:t>
      </w:r>
      <w:proofErr w:type="spellEnd"/>
      <w:r w:rsidRPr="00AB1F62">
        <w:t>, 2024 (Korea): Enveisregulert sykkelveg</w:t>
      </w:r>
    </w:p>
    <w:bookmarkEnd w:id="35"/>
    <w:p w14:paraId="48982760" w14:textId="082F0F87" w:rsidR="00F735F1" w:rsidRDefault="00AB1F62" w:rsidP="00F735F1">
      <w:r>
        <w:t xml:space="preserve">Alle studiene </w:t>
      </w:r>
      <w:r w:rsidR="00F735F1">
        <w:t xml:space="preserve">har kontrollert for antall syklister. Studier uten kontroll for antall syklister finner ofte flere sykkelulykker på sykkelveger enn i blandet trafikk. Det betyr imidlertid ikke at sykkelveger er farligere for syklister, bare at de har mer sykkeltrafikk. </w:t>
      </w:r>
      <w:r>
        <w:t xml:space="preserve">Slike studier er derfor ikke tatt med i analysene. </w:t>
      </w:r>
    </w:p>
    <w:p w14:paraId="25C1E504" w14:textId="4FE03CD4" w:rsidR="00523D20" w:rsidRDefault="00523D20" w:rsidP="00523D20">
      <w:r>
        <w:t>Sammenlagte effekter i studiene med kontroll for antall syklister er oppsummert i tabell 1.1.</w:t>
      </w:r>
      <w:r w:rsidR="008E35EB">
        <w:t>3</w:t>
      </w:r>
      <w:r>
        <w:t xml:space="preserve">. </w:t>
      </w:r>
    </w:p>
    <w:p w14:paraId="6F6AE518" w14:textId="2196C0B5" w:rsidR="00F735F1" w:rsidRPr="00E06C43" w:rsidRDefault="00F735F1" w:rsidP="00423B0D">
      <w:pPr>
        <w:keepNext/>
        <w:rPr>
          <w:i/>
          <w:iCs/>
        </w:rPr>
      </w:pPr>
      <w:r w:rsidRPr="00E06C43">
        <w:rPr>
          <w:i/>
          <w:iCs/>
        </w:rPr>
        <w:t>Tabell 1.1.</w:t>
      </w:r>
      <w:r w:rsidR="008E35EB">
        <w:rPr>
          <w:i/>
          <w:iCs/>
        </w:rPr>
        <w:t>3</w:t>
      </w:r>
      <w:r w:rsidR="00E06C43" w:rsidRPr="00E06C43">
        <w:rPr>
          <w:i/>
          <w:iCs/>
        </w:rPr>
        <w:t>: Ulykkesrisiko på strekninger og i kryss på veg med sykkelveg, sammenlignet med blandet trafikk</w:t>
      </w:r>
      <w:r w:rsidR="00E06C43">
        <w:rPr>
          <w:i/>
          <w:iCs/>
        </w:rPr>
        <w:t xml:space="preserve">, sammenlagte resultater fra </w:t>
      </w:r>
      <w:proofErr w:type="spellStart"/>
      <w:r w:rsidR="00E06C43">
        <w:rPr>
          <w:i/>
          <w:iCs/>
        </w:rPr>
        <w:t>meta</w:t>
      </w:r>
      <w:proofErr w:type="spellEnd"/>
      <w:r w:rsidR="00E06C43">
        <w:rPr>
          <w:i/>
          <w:iCs/>
        </w:rPr>
        <w:t>-analyse</w:t>
      </w:r>
      <w:r w:rsidR="00E06C43" w:rsidRPr="00E06C43">
        <w:rPr>
          <w:i/>
          <w:iCs/>
        </w:rPr>
        <w:t>.</w:t>
      </w:r>
    </w:p>
    <w:tbl>
      <w:tblPr>
        <w:tblW w:w="0" w:type="auto"/>
        <w:tblCellMar>
          <w:left w:w="0" w:type="dxa"/>
          <w:right w:w="0" w:type="dxa"/>
        </w:tblCellMar>
        <w:tblLook w:val="04A0" w:firstRow="1" w:lastRow="0" w:firstColumn="1" w:lastColumn="0" w:noHBand="0" w:noVBand="1"/>
      </w:tblPr>
      <w:tblGrid>
        <w:gridCol w:w="1313"/>
        <w:gridCol w:w="2340"/>
        <w:gridCol w:w="1215"/>
        <w:gridCol w:w="1247"/>
        <w:gridCol w:w="1200"/>
      </w:tblGrid>
      <w:tr w:rsidR="00F735F1" w:rsidRPr="00F735F1" w14:paraId="16A66AE2" w14:textId="77777777" w:rsidTr="00F735F1">
        <w:trPr>
          <w:cantSplit/>
        </w:trPr>
        <w:tc>
          <w:tcPr>
            <w:tcW w:w="0" w:type="auto"/>
            <w:tcBorders>
              <w:top w:val="single" w:sz="12" w:space="0" w:color="000000"/>
              <w:left w:val="nil"/>
              <w:bottom w:val="nil"/>
              <w:right w:val="nil"/>
            </w:tcBorders>
            <w:tcMar>
              <w:top w:w="45" w:type="dxa"/>
              <w:left w:w="105" w:type="dxa"/>
              <w:bottom w:w="45" w:type="dxa"/>
              <w:right w:w="105" w:type="dxa"/>
            </w:tcMar>
            <w:hideMark/>
          </w:tcPr>
          <w:p w14:paraId="518B2A9E" w14:textId="77777777" w:rsidR="00F735F1" w:rsidRPr="00F735F1" w:rsidRDefault="00F735F1" w:rsidP="00423B0D">
            <w:pPr>
              <w:keepNext/>
              <w:spacing w:before="40" w:after="40"/>
              <w:rPr>
                <w:sz w:val="20"/>
                <w:szCs w:val="20"/>
              </w:rPr>
            </w:pPr>
          </w:p>
        </w:tc>
        <w:tc>
          <w:tcPr>
            <w:tcW w:w="0" w:type="auto"/>
            <w:tcBorders>
              <w:top w:val="single" w:sz="12" w:space="0" w:color="000000"/>
              <w:left w:val="nil"/>
              <w:bottom w:val="nil"/>
              <w:right w:val="nil"/>
            </w:tcBorders>
            <w:tcMar>
              <w:top w:w="45" w:type="dxa"/>
              <w:left w:w="105" w:type="dxa"/>
              <w:bottom w:w="45" w:type="dxa"/>
              <w:right w:w="105" w:type="dxa"/>
            </w:tcMar>
            <w:hideMark/>
          </w:tcPr>
          <w:p w14:paraId="62EEC0C5" w14:textId="77777777" w:rsidR="00F735F1" w:rsidRPr="00F735F1" w:rsidRDefault="00F735F1" w:rsidP="00423B0D">
            <w:pPr>
              <w:keepNext/>
              <w:spacing w:before="40" w:after="40"/>
              <w:rPr>
                <w:sz w:val="20"/>
                <w:szCs w:val="20"/>
              </w:rPr>
            </w:pPr>
          </w:p>
        </w:tc>
        <w:tc>
          <w:tcPr>
            <w:tcW w:w="0" w:type="auto"/>
            <w:tcBorders>
              <w:top w:val="single" w:sz="12" w:space="0" w:color="000000"/>
              <w:left w:val="nil"/>
              <w:bottom w:val="nil"/>
              <w:right w:val="nil"/>
            </w:tcBorders>
            <w:tcMar>
              <w:top w:w="45" w:type="dxa"/>
              <w:left w:w="105" w:type="dxa"/>
              <w:bottom w:w="45" w:type="dxa"/>
              <w:right w:w="105" w:type="dxa"/>
            </w:tcMar>
            <w:hideMark/>
          </w:tcPr>
          <w:p w14:paraId="7C662971" w14:textId="77777777" w:rsidR="00F735F1" w:rsidRPr="00F735F1" w:rsidRDefault="00F735F1" w:rsidP="00423B0D">
            <w:pPr>
              <w:keepNext/>
              <w:spacing w:before="40" w:after="40"/>
              <w:rPr>
                <w:sz w:val="20"/>
                <w:szCs w:val="20"/>
              </w:rPr>
            </w:pPr>
          </w:p>
        </w:tc>
        <w:tc>
          <w:tcPr>
            <w:tcW w:w="0" w:type="auto"/>
            <w:gridSpan w:val="2"/>
            <w:tcBorders>
              <w:top w:val="single" w:sz="12" w:space="0" w:color="000000"/>
              <w:left w:val="nil"/>
              <w:bottom w:val="single" w:sz="6" w:space="0" w:color="000000"/>
              <w:right w:val="nil"/>
            </w:tcBorders>
            <w:tcMar>
              <w:top w:w="45" w:type="dxa"/>
              <w:left w:w="105" w:type="dxa"/>
              <w:bottom w:w="45" w:type="dxa"/>
              <w:right w:w="105" w:type="dxa"/>
            </w:tcMar>
            <w:hideMark/>
          </w:tcPr>
          <w:p w14:paraId="7650D91F" w14:textId="77777777" w:rsidR="00F735F1" w:rsidRPr="00F735F1" w:rsidRDefault="00F735F1" w:rsidP="00423B0D">
            <w:pPr>
              <w:keepNext/>
              <w:spacing w:before="40" w:after="40"/>
              <w:rPr>
                <w:sz w:val="20"/>
                <w:szCs w:val="20"/>
              </w:rPr>
            </w:pPr>
            <w:r w:rsidRPr="00F735F1">
              <w:rPr>
                <w:b/>
                <w:bCs/>
                <w:sz w:val="20"/>
                <w:szCs w:val="20"/>
              </w:rPr>
              <w:t>Virkning på ulykker</w:t>
            </w:r>
          </w:p>
        </w:tc>
      </w:tr>
      <w:tr w:rsidR="00EF3D39" w:rsidRPr="00F735F1" w14:paraId="60F2D0B8" w14:textId="77777777" w:rsidTr="00EF3D39">
        <w:trPr>
          <w:cantSplit/>
        </w:trPr>
        <w:tc>
          <w:tcPr>
            <w:tcW w:w="0" w:type="auto"/>
            <w:tcBorders>
              <w:top w:val="nil"/>
              <w:left w:val="nil"/>
              <w:bottom w:val="single" w:sz="6" w:space="0" w:color="000000"/>
              <w:right w:val="nil"/>
            </w:tcBorders>
            <w:tcMar>
              <w:top w:w="45" w:type="dxa"/>
              <w:left w:w="105" w:type="dxa"/>
              <w:bottom w:w="45" w:type="dxa"/>
              <w:right w:w="105" w:type="dxa"/>
            </w:tcMar>
            <w:hideMark/>
          </w:tcPr>
          <w:p w14:paraId="095F13E1" w14:textId="77777777" w:rsidR="00EF3D39" w:rsidRPr="00F735F1" w:rsidRDefault="00EF3D39" w:rsidP="00423B0D">
            <w:pPr>
              <w:keepNext/>
              <w:spacing w:before="40" w:after="40"/>
              <w:rPr>
                <w:sz w:val="20"/>
                <w:szCs w:val="20"/>
              </w:rPr>
            </w:pPr>
            <w:r w:rsidRPr="00F735F1">
              <w:rPr>
                <w:b/>
                <w:bCs/>
                <w:sz w:val="20"/>
                <w:szCs w:val="20"/>
              </w:rPr>
              <w:t>Ulykker</w:t>
            </w:r>
          </w:p>
        </w:tc>
        <w:tc>
          <w:tcPr>
            <w:tcW w:w="0" w:type="auto"/>
            <w:tcBorders>
              <w:top w:val="nil"/>
              <w:left w:val="nil"/>
              <w:bottom w:val="single" w:sz="6" w:space="0" w:color="000000"/>
              <w:right w:val="nil"/>
            </w:tcBorders>
            <w:tcMar>
              <w:top w:w="45" w:type="dxa"/>
              <w:left w:w="105" w:type="dxa"/>
              <w:bottom w:w="45" w:type="dxa"/>
              <w:right w:w="105" w:type="dxa"/>
            </w:tcMar>
          </w:tcPr>
          <w:p w14:paraId="1F8A65EC" w14:textId="7C9EDBC1" w:rsidR="00EF3D39" w:rsidRPr="00EF3D39" w:rsidRDefault="00EF3D39" w:rsidP="00423B0D">
            <w:pPr>
              <w:keepNext/>
              <w:spacing w:before="40" w:after="40"/>
              <w:rPr>
                <w:b/>
                <w:bCs/>
                <w:sz w:val="20"/>
                <w:szCs w:val="20"/>
              </w:rPr>
            </w:pPr>
            <w:r w:rsidRPr="00EF3D39">
              <w:rPr>
                <w:b/>
                <w:bCs/>
                <w:sz w:val="20"/>
                <w:szCs w:val="20"/>
              </w:rPr>
              <w:t>Type tiltak</w:t>
            </w:r>
          </w:p>
        </w:tc>
        <w:tc>
          <w:tcPr>
            <w:tcW w:w="0" w:type="auto"/>
            <w:tcBorders>
              <w:top w:val="nil"/>
              <w:left w:val="nil"/>
              <w:bottom w:val="single" w:sz="6" w:space="0" w:color="000000"/>
              <w:right w:val="nil"/>
            </w:tcBorders>
            <w:tcMar>
              <w:top w:w="45" w:type="dxa"/>
              <w:left w:w="105" w:type="dxa"/>
              <w:bottom w:w="45" w:type="dxa"/>
              <w:right w:w="105" w:type="dxa"/>
            </w:tcMar>
            <w:hideMark/>
          </w:tcPr>
          <w:p w14:paraId="1B74D7A4" w14:textId="5B2C66D1" w:rsidR="00EF3D39" w:rsidRPr="00F735F1" w:rsidRDefault="00EF3D39" w:rsidP="00423B0D">
            <w:pPr>
              <w:keepNext/>
              <w:spacing w:before="40" w:after="40"/>
              <w:rPr>
                <w:sz w:val="20"/>
                <w:szCs w:val="20"/>
              </w:rPr>
            </w:pPr>
            <w:r w:rsidRPr="00F735F1">
              <w:rPr>
                <w:b/>
                <w:bCs/>
                <w:sz w:val="20"/>
                <w:szCs w:val="20"/>
              </w:rPr>
              <w:t>Ulykkessted</w:t>
            </w:r>
          </w:p>
        </w:tc>
        <w:tc>
          <w:tcPr>
            <w:tcW w:w="0" w:type="auto"/>
            <w:tcBorders>
              <w:top w:val="nil"/>
              <w:left w:val="nil"/>
              <w:bottom w:val="single" w:sz="6" w:space="0" w:color="000000"/>
              <w:right w:val="nil"/>
            </w:tcBorders>
            <w:tcMar>
              <w:top w:w="45" w:type="dxa"/>
              <w:left w:w="105" w:type="dxa"/>
              <w:bottom w:w="45" w:type="dxa"/>
              <w:right w:w="105" w:type="dxa"/>
            </w:tcMar>
            <w:hideMark/>
          </w:tcPr>
          <w:p w14:paraId="6C817E4D" w14:textId="77777777" w:rsidR="00EF3D39" w:rsidRPr="00F735F1" w:rsidRDefault="00EF3D39" w:rsidP="00423B0D">
            <w:pPr>
              <w:keepNext/>
              <w:spacing w:before="40" w:after="40"/>
              <w:rPr>
                <w:sz w:val="20"/>
                <w:szCs w:val="20"/>
              </w:rPr>
            </w:pPr>
            <w:r w:rsidRPr="00F735F1">
              <w:rPr>
                <w:b/>
                <w:bCs/>
                <w:sz w:val="20"/>
                <w:szCs w:val="20"/>
              </w:rPr>
              <w:t>Beste anslag</w:t>
            </w:r>
          </w:p>
        </w:tc>
        <w:tc>
          <w:tcPr>
            <w:tcW w:w="0" w:type="auto"/>
            <w:tcBorders>
              <w:top w:val="nil"/>
              <w:left w:val="nil"/>
              <w:bottom w:val="single" w:sz="6" w:space="0" w:color="000000"/>
              <w:right w:val="nil"/>
            </w:tcBorders>
            <w:tcMar>
              <w:top w:w="45" w:type="dxa"/>
              <w:left w:w="105" w:type="dxa"/>
              <w:bottom w:w="45" w:type="dxa"/>
              <w:right w:w="105" w:type="dxa"/>
            </w:tcMar>
            <w:hideMark/>
          </w:tcPr>
          <w:p w14:paraId="3ED73401" w14:textId="77777777" w:rsidR="00EF3D39" w:rsidRPr="00F735F1" w:rsidRDefault="00EF3D39" w:rsidP="00423B0D">
            <w:pPr>
              <w:keepNext/>
              <w:spacing w:before="40" w:after="40"/>
              <w:rPr>
                <w:sz w:val="20"/>
                <w:szCs w:val="20"/>
              </w:rPr>
            </w:pPr>
            <w:r w:rsidRPr="00F735F1">
              <w:rPr>
                <w:b/>
                <w:bCs/>
                <w:sz w:val="20"/>
                <w:szCs w:val="20"/>
              </w:rPr>
              <w:t>Usikkerhet</w:t>
            </w:r>
          </w:p>
        </w:tc>
      </w:tr>
      <w:tr w:rsidR="002C347A" w:rsidRPr="00F735F1" w14:paraId="1BBDD330" w14:textId="77777777" w:rsidTr="00EF3D39">
        <w:trPr>
          <w:cantSplit/>
        </w:trPr>
        <w:tc>
          <w:tcPr>
            <w:tcW w:w="0" w:type="auto"/>
            <w:tcBorders>
              <w:top w:val="nil"/>
              <w:left w:val="nil"/>
              <w:bottom w:val="nil"/>
              <w:right w:val="nil"/>
            </w:tcBorders>
            <w:tcMar>
              <w:top w:w="45" w:type="dxa"/>
              <w:left w:w="105" w:type="dxa"/>
              <w:bottom w:w="45" w:type="dxa"/>
              <w:right w:w="105" w:type="dxa"/>
            </w:tcMar>
          </w:tcPr>
          <w:p w14:paraId="6B5850A3" w14:textId="5C218B5E" w:rsidR="002C347A" w:rsidRPr="00F735F1" w:rsidRDefault="002C347A" w:rsidP="002C347A">
            <w:pPr>
              <w:keepNext/>
              <w:spacing w:before="40" w:after="40"/>
              <w:rPr>
                <w:sz w:val="20"/>
                <w:szCs w:val="20"/>
              </w:rPr>
            </w:pPr>
            <w:r w:rsidRPr="00F735F1">
              <w:rPr>
                <w:sz w:val="20"/>
                <w:szCs w:val="20"/>
              </w:rPr>
              <w:t>Sykkelulykker</w:t>
            </w:r>
          </w:p>
        </w:tc>
        <w:tc>
          <w:tcPr>
            <w:tcW w:w="0" w:type="auto"/>
            <w:tcBorders>
              <w:top w:val="nil"/>
              <w:left w:val="nil"/>
              <w:bottom w:val="nil"/>
              <w:right w:val="nil"/>
            </w:tcBorders>
            <w:tcMar>
              <w:top w:w="45" w:type="dxa"/>
              <w:left w:w="105" w:type="dxa"/>
              <w:bottom w:w="45" w:type="dxa"/>
              <w:right w:w="105" w:type="dxa"/>
            </w:tcMar>
          </w:tcPr>
          <w:p w14:paraId="361A7B2C" w14:textId="3602EB8C" w:rsidR="002C347A" w:rsidRDefault="002C347A" w:rsidP="002C347A">
            <w:pPr>
              <w:keepNext/>
              <w:spacing w:before="40" w:after="40"/>
              <w:rPr>
                <w:sz w:val="20"/>
                <w:szCs w:val="20"/>
              </w:rPr>
            </w:pPr>
            <w:r>
              <w:rPr>
                <w:sz w:val="20"/>
                <w:szCs w:val="20"/>
              </w:rPr>
              <w:t>Sykkelveg (enveisregulert)</w:t>
            </w:r>
          </w:p>
        </w:tc>
        <w:tc>
          <w:tcPr>
            <w:tcW w:w="0" w:type="auto"/>
            <w:tcBorders>
              <w:top w:val="nil"/>
              <w:left w:val="nil"/>
              <w:bottom w:val="nil"/>
              <w:right w:val="nil"/>
            </w:tcBorders>
            <w:tcMar>
              <w:top w:w="45" w:type="dxa"/>
              <w:left w:w="105" w:type="dxa"/>
              <w:bottom w:w="45" w:type="dxa"/>
              <w:right w:w="105" w:type="dxa"/>
            </w:tcMar>
          </w:tcPr>
          <w:p w14:paraId="30F40780" w14:textId="4EE871D6" w:rsidR="002C347A" w:rsidRPr="00F735F1" w:rsidRDefault="002C347A" w:rsidP="002C347A">
            <w:pPr>
              <w:keepNext/>
              <w:spacing w:before="40" w:after="40"/>
              <w:rPr>
                <w:sz w:val="20"/>
                <w:szCs w:val="20"/>
              </w:rPr>
            </w:pPr>
            <w:r w:rsidRPr="005B762B">
              <w:rPr>
                <w:sz w:val="20"/>
                <w:szCs w:val="20"/>
              </w:rPr>
              <w:t>Strekning</w:t>
            </w:r>
          </w:p>
        </w:tc>
        <w:tc>
          <w:tcPr>
            <w:tcW w:w="0" w:type="auto"/>
            <w:tcBorders>
              <w:top w:val="nil"/>
              <w:left w:val="nil"/>
              <w:bottom w:val="nil"/>
              <w:right w:val="nil"/>
            </w:tcBorders>
            <w:tcMar>
              <w:top w:w="45" w:type="dxa"/>
              <w:left w:w="105" w:type="dxa"/>
              <w:bottom w:w="45" w:type="dxa"/>
              <w:right w:w="105" w:type="dxa"/>
            </w:tcMar>
          </w:tcPr>
          <w:p w14:paraId="1CD07C0A" w14:textId="74C143FF" w:rsidR="002C347A" w:rsidRPr="00F735F1" w:rsidRDefault="002C347A" w:rsidP="002C347A">
            <w:pPr>
              <w:keepNext/>
              <w:spacing w:before="40" w:after="40"/>
              <w:jc w:val="center"/>
              <w:rPr>
                <w:b/>
                <w:bCs/>
                <w:sz w:val="20"/>
                <w:szCs w:val="20"/>
              </w:rPr>
            </w:pPr>
            <w:r>
              <w:rPr>
                <w:b/>
                <w:bCs/>
                <w:sz w:val="20"/>
                <w:szCs w:val="20"/>
              </w:rPr>
              <w:t>-22</w:t>
            </w:r>
          </w:p>
        </w:tc>
        <w:tc>
          <w:tcPr>
            <w:tcW w:w="0" w:type="auto"/>
            <w:tcBorders>
              <w:top w:val="nil"/>
              <w:left w:val="nil"/>
              <w:bottom w:val="nil"/>
              <w:right w:val="nil"/>
            </w:tcBorders>
            <w:tcMar>
              <w:top w:w="45" w:type="dxa"/>
              <w:left w:w="105" w:type="dxa"/>
              <w:bottom w:w="45" w:type="dxa"/>
              <w:right w:w="105" w:type="dxa"/>
            </w:tcMar>
          </w:tcPr>
          <w:p w14:paraId="05334A80" w14:textId="043D8915" w:rsidR="002C347A" w:rsidRPr="00F735F1" w:rsidRDefault="002C347A" w:rsidP="002C347A">
            <w:pPr>
              <w:keepNext/>
              <w:spacing w:before="40" w:after="40"/>
              <w:rPr>
                <w:sz w:val="20"/>
                <w:szCs w:val="20"/>
              </w:rPr>
            </w:pPr>
            <w:r>
              <w:rPr>
                <w:sz w:val="20"/>
                <w:szCs w:val="20"/>
              </w:rPr>
              <w:t>(-54; +34)</w:t>
            </w:r>
          </w:p>
        </w:tc>
      </w:tr>
      <w:tr w:rsidR="002C347A" w:rsidRPr="00F735F1" w14:paraId="52AE35F0" w14:textId="77777777" w:rsidTr="00EF3D39">
        <w:trPr>
          <w:cantSplit/>
        </w:trPr>
        <w:tc>
          <w:tcPr>
            <w:tcW w:w="0" w:type="auto"/>
            <w:tcBorders>
              <w:top w:val="nil"/>
              <w:left w:val="nil"/>
              <w:bottom w:val="nil"/>
              <w:right w:val="nil"/>
            </w:tcBorders>
            <w:tcMar>
              <w:top w:w="45" w:type="dxa"/>
              <w:left w:w="105" w:type="dxa"/>
              <w:bottom w:w="45" w:type="dxa"/>
              <w:right w:w="105" w:type="dxa"/>
            </w:tcMar>
          </w:tcPr>
          <w:p w14:paraId="18E472AB" w14:textId="77777777" w:rsidR="002C347A" w:rsidRPr="00F735F1" w:rsidRDefault="002C347A" w:rsidP="002C347A">
            <w:pPr>
              <w:keepNext/>
              <w:spacing w:before="40" w:after="40"/>
              <w:rPr>
                <w:sz w:val="20"/>
                <w:szCs w:val="20"/>
              </w:rPr>
            </w:pPr>
          </w:p>
        </w:tc>
        <w:tc>
          <w:tcPr>
            <w:tcW w:w="0" w:type="auto"/>
            <w:tcBorders>
              <w:top w:val="nil"/>
              <w:left w:val="nil"/>
              <w:bottom w:val="nil"/>
              <w:right w:val="nil"/>
            </w:tcBorders>
            <w:tcMar>
              <w:top w:w="45" w:type="dxa"/>
              <w:left w:w="105" w:type="dxa"/>
              <w:bottom w:w="45" w:type="dxa"/>
              <w:right w:w="105" w:type="dxa"/>
            </w:tcMar>
          </w:tcPr>
          <w:p w14:paraId="0F0FBFB3" w14:textId="29133AE5" w:rsidR="002C347A" w:rsidRDefault="002C347A" w:rsidP="002C347A">
            <w:pPr>
              <w:keepNext/>
              <w:spacing w:before="40" w:after="40"/>
              <w:rPr>
                <w:sz w:val="20"/>
                <w:szCs w:val="20"/>
              </w:rPr>
            </w:pPr>
            <w:r>
              <w:rPr>
                <w:sz w:val="20"/>
                <w:szCs w:val="20"/>
              </w:rPr>
              <w:t>Sykkelveg (dobbeltrettet)</w:t>
            </w:r>
          </w:p>
        </w:tc>
        <w:tc>
          <w:tcPr>
            <w:tcW w:w="0" w:type="auto"/>
            <w:tcBorders>
              <w:top w:val="nil"/>
              <w:left w:val="nil"/>
              <w:bottom w:val="nil"/>
              <w:right w:val="nil"/>
            </w:tcBorders>
            <w:tcMar>
              <w:top w:w="45" w:type="dxa"/>
              <w:left w:w="105" w:type="dxa"/>
              <w:bottom w:w="45" w:type="dxa"/>
              <w:right w:w="105" w:type="dxa"/>
            </w:tcMar>
          </w:tcPr>
          <w:p w14:paraId="6A39E4A1" w14:textId="466403F8" w:rsidR="002C347A" w:rsidRPr="00F735F1" w:rsidRDefault="002C347A" w:rsidP="002C347A">
            <w:pPr>
              <w:keepNext/>
              <w:spacing w:before="40" w:after="40"/>
              <w:rPr>
                <w:sz w:val="20"/>
                <w:szCs w:val="20"/>
              </w:rPr>
            </w:pPr>
            <w:r w:rsidRPr="005B762B">
              <w:rPr>
                <w:sz w:val="20"/>
                <w:szCs w:val="20"/>
              </w:rPr>
              <w:t>Strekning</w:t>
            </w:r>
          </w:p>
        </w:tc>
        <w:tc>
          <w:tcPr>
            <w:tcW w:w="0" w:type="auto"/>
            <w:tcBorders>
              <w:top w:val="nil"/>
              <w:left w:val="nil"/>
              <w:bottom w:val="nil"/>
              <w:right w:val="nil"/>
            </w:tcBorders>
            <w:tcMar>
              <w:top w:w="45" w:type="dxa"/>
              <w:left w:w="105" w:type="dxa"/>
              <w:bottom w:w="45" w:type="dxa"/>
              <w:right w:w="105" w:type="dxa"/>
            </w:tcMar>
          </w:tcPr>
          <w:p w14:paraId="4A04F3F1" w14:textId="24741D55" w:rsidR="002C347A" w:rsidRPr="00F735F1" w:rsidRDefault="002C347A" w:rsidP="002C347A">
            <w:pPr>
              <w:keepNext/>
              <w:spacing w:before="40" w:after="40"/>
              <w:jc w:val="center"/>
              <w:rPr>
                <w:b/>
                <w:bCs/>
                <w:sz w:val="20"/>
                <w:szCs w:val="20"/>
              </w:rPr>
            </w:pPr>
            <w:r>
              <w:rPr>
                <w:b/>
                <w:bCs/>
                <w:sz w:val="20"/>
                <w:szCs w:val="20"/>
              </w:rPr>
              <w:t>-87</w:t>
            </w:r>
          </w:p>
        </w:tc>
        <w:tc>
          <w:tcPr>
            <w:tcW w:w="0" w:type="auto"/>
            <w:tcBorders>
              <w:top w:val="nil"/>
              <w:left w:val="nil"/>
              <w:bottom w:val="nil"/>
              <w:right w:val="nil"/>
            </w:tcBorders>
            <w:tcMar>
              <w:top w:w="45" w:type="dxa"/>
              <w:left w:w="105" w:type="dxa"/>
              <w:bottom w:w="45" w:type="dxa"/>
              <w:right w:w="105" w:type="dxa"/>
            </w:tcMar>
          </w:tcPr>
          <w:p w14:paraId="3B0F3D44" w14:textId="763934D9" w:rsidR="002C347A" w:rsidRPr="00F735F1" w:rsidRDefault="002C347A" w:rsidP="002C347A">
            <w:pPr>
              <w:keepNext/>
              <w:spacing w:before="40" w:after="40"/>
              <w:rPr>
                <w:sz w:val="20"/>
                <w:szCs w:val="20"/>
              </w:rPr>
            </w:pPr>
            <w:r>
              <w:rPr>
                <w:sz w:val="20"/>
                <w:szCs w:val="20"/>
              </w:rPr>
              <w:t>(-99; +53)</w:t>
            </w:r>
          </w:p>
        </w:tc>
      </w:tr>
      <w:tr w:rsidR="00EF3D39" w:rsidRPr="00F735F1" w14:paraId="4BC3D620" w14:textId="77777777" w:rsidTr="00DE20C0">
        <w:trPr>
          <w:cantSplit/>
        </w:trPr>
        <w:tc>
          <w:tcPr>
            <w:tcW w:w="0" w:type="auto"/>
            <w:tcBorders>
              <w:top w:val="nil"/>
              <w:left w:val="nil"/>
              <w:right w:val="nil"/>
            </w:tcBorders>
            <w:tcMar>
              <w:top w:w="45" w:type="dxa"/>
              <w:left w:w="105" w:type="dxa"/>
              <w:bottom w:w="45" w:type="dxa"/>
              <w:right w:w="105" w:type="dxa"/>
            </w:tcMar>
          </w:tcPr>
          <w:p w14:paraId="7C6CFD39" w14:textId="77777777" w:rsidR="00EF3D39" w:rsidRPr="00F735F1" w:rsidRDefault="00EF3D39" w:rsidP="00423B0D">
            <w:pPr>
              <w:keepNext/>
              <w:spacing w:before="40" w:after="40"/>
              <w:rPr>
                <w:sz w:val="20"/>
                <w:szCs w:val="20"/>
              </w:rPr>
            </w:pPr>
          </w:p>
        </w:tc>
        <w:tc>
          <w:tcPr>
            <w:tcW w:w="0" w:type="auto"/>
            <w:tcBorders>
              <w:top w:val="nil"/>
              <w:left w:val="nil"/>
              <w:right w:val="nil"/>
            </w:tcBorders>
            <w:tcMar>
              <w:top w:w="45" w:type="dxa"/>
              <w:left w:w="105" w:type="dxa"/>
              <w:bottom w:w="45" w:type="dxa"/>
              <w:right w:w="105" w:type="dxa"/>
            </w:tcMar>
          </w:tcPr>
          <w:p w14:paraId="7C3B7CD3" w14:textId="6FA71C50" w:rsidR="00EF3D39" w:rsidRPr="00F735F1" w:rsidRDefault="00EF3D39" w:rsidP="00423B0D">
            <w:pPr>
              <w:keepNext/>
              <w:spacing w:before="40" w:after="40"/>
              <w:rPr>
                <w:sz w:val="20"/>
                <w:szCs w:val="20"/>
              </w:rPr>
            </w:pPr>
            <w:r>
              <w:rPr>
                <w:sz w:val="20"/>
                <w:szCs w:val="20"/>
              </w:rPr>
              <w:t>Sykkelveg (enveisregulert)</w:t>
            </w:r>
          </w:p>
        </w:tc>
        <w:tc>
          <w:tcPr>
            <w:tcW w:w="0" w:type="auto"/>
            <w:tcBorders>
              <w:top w:val="nil"/>
              <w:left w:val="nil"/>
              <w:right w:val="nil"/>
            </w:tcBorders>
            <w:tcMar>
              <w:top w:w="45" w:type="dxa"/>
              <w:left w:w="105" w:type="dxa"/>
              <w:bottom w:w="45" w:type="dxa"/>
              <w:right w:w="105" w:type="dxa"/>
            </w:tcMar>
          </w:tcPr>
          <w:p w14:paraId="11309414" w14:textId="60C60FB8" w:rsidR="00EF3D39" w:rsidRPr="00F735F1" w:rsidRDefault="00EF3D39" w:rsidP="00423B0D">
            <w:pPr>
              <w:keepNext/>
              <w:spacing w:before="40" w:after="40"/>
              <w:rPr>
                <w:sz w:val="20"/>
                <w:szCs w:val="20"/>
              </w:rPr>
            </w:pPr>
            <w:r>
              <w:rPr>
                <w:sz w:val="20"/>
                <w:szCs w:val="20"/>
              </w:rPr>
              <w:t>Kryss</w:t>
            </w:r>
          </w:p>
        </w:tc>
        <w:tc>
          <w:tcPr>
            <w:tcW w:w="0" w:type="auto"/>
            <w:tcBorders>
              <w:top w:val="nil"/>
              <w:left w:val="nil"/>
              <w:right w:val="nil"/>
            </w:tcBorders>
            <w:tcMar>
              <w:top w:w="45" w:type="dxa"/>
              <w:left w:w="105" w:type="dxa"/>
              <w:bottom w:w="45" w:type="dxa"/>
              <w:right w:w="105" w:type="dxa"/>
            </w:tcMar>
          </w:tcPr>
          <w:p w14:paraId="0FAD8CA0" w14:textId="38B8DBFD" w:rsidR="00EF3D39" w:rsidRPr="00F735F1" w:rsidRDefault="00E06C43" w:rsidP="00423B0D">
            <w:pPr>
              <w:keepNext/>
              <w:spacing w:before="40" w:after="40"/>
              <w:jc w:val="center"/>
              <w:rPr>
                <w:b/>
                <w:bCs/>
                <w:sz w:val="20"/>
                <w:szCs w:val="20"/>
              </w:rPr>
            </w:pPr>
            <w:r>
              <w:rPr>
                <w:b/>
                <w:bCs/>
                <w:sz w:val="20"/>
                <w:szCs w:val="20"/>
              </w:rPr>
              <w:t>-16</w:t>
            </w:r>
          </w:p>
        </w:tc>
        <w:tc>
          <w:tcPr>
            <w:tcW w:w="0" w:type="auto"/>
            <w:tcBorders>
              <w:top w:val="nil"/>
              <w:left w:val="nil"/>
              <w:right w:val="nil"/>
            </w:tcBorders>
            <w:tcMar>
              <w:top w:w="45" w:type="dxa"/>
              <w:left w:w="105" w:type="dxa"/>
              <w:bottom w:w="45" w:type="dxa"/>
              <w:right w:w="105" w:type="dxa"/>
            </w:tcMar>
          </w:tcPr>
          <w:p w14:paraId="0FF882EF" w14:textId="563EAD30" w:rsidR="00EF3D39" w:rsidRPr="00F735F1" w:rsidRDefault="00E06C43" w:rsidP="00423B0D">
            <w:pPr>
              <w:keepNext/>
              <w:spacing w:before="40" w:after="40"/>
              <w:rPr>
                <w:sz w:val="20"/>
                <w:szCs w:val="20"/>
              </w:rPr>
            </w:pPr>
            <w:r w:rsidRPr="00E06C43">
              <w:rPr>
                <w:sz w:val="20"/>
                <w:szCs w:val="20"/>
              </w:rPr>
              <w:t xml:space="preserve">(-61; </w:t>
            </w:r>
            <w:r>
              <w:rPr>
                <w:sz w:val="20"/>
                <w:szCs w:val="20"/>
              </w:rPr>
              <w:t>+</w:t>
            </w:r>
            <w:r w:rsidRPr="00E06C43">
              <w:rPr>
                <w:sz w:val="20"/>
                <w:szCs w:val="20"/>
              </w:rPr>
              <w:t>83)</w:t>
            </w:r>
          </w:p>
        </w:tc>
      </w:tr>
      <w:tr w:rsidR="00EF3D39" w:rsidRPr="00F735F1" w14:paraId="4193D036" w14:textId="77777777" w:rsidTr="00DE20C0">
        <w:trPr>
          <w:cantSplit/>
        </w:trPr>
        <w:tc>
          <w:tcPr>
            <w:tcW w:w="0" w:type="auto"/>
            <w:tcBorders>
              <w:top w:val="nil"/>
              <w:left w:val="nil"/>
              <w:bottom w:val="single" w:sz="4" w:space="0" w:color="auto"/>
              <w:right w:val="nil"/>
            </w:tcBorders>
            <w:tcMar>
              <w:top w:w="45" w:type="dxa"/>
              <w:left w:w="105" w:type="dxa"/>
              <w:bottom w:w="45" w:type="dxa"/>
              <w:right w:w="105" w:type="dxa"/>
            </w:tcMar>
          </w:tcPr>
          <w:p w14:paraId="285EA5C0" w14:textId="77777777" w:rsidR="00EF3D39" w:rsidRPr="00F735F1" w:rsidRDefault="00EF3D39" w:rsidP="00423B0D">
            <w:pPr>
              <w:keepNext/>
              <w:spacing w:before="40" w:after="40"/>
              <w:rPr>
                <w:sz w:val="20"/>
                <w:szCs w:val="20"/>
              </w:rPr>
            </w:pPr>
          </w:p>
        </w:tc>
        <w:tc>
          <w:tcPr>
            <w:tcW w:w="0" w:type="auto"/>
            <w:tcBorders>
              <w:top w:val="nil"/>
              <w:left w:val="nil"/>
              <w:bottom w:val="single" w:sz="4" w:space="0" w:color="auto"/>
              <w:right w:val="nil"/>
            </w:tcBorders>
            <w:tcMar>
              <w:top w:w="45" w:type="dxa"/>
              <w:left w:w="105" w:type="dxa"/>
              <w:bottom w:w="45" w:type="dxa"/>
              <w:right w:w="105" w:type="dxa"/>
            </w:tcMar>
          </w:tcPr>
          <w:p w14:paraId="52097191" w14:textId="5AE4283F" w:rsidR="00EF3D39" w:rsidRPr="00F735F1" w:rsidRDefault="00EF3D39" w:rsidP="00423B0D">
            <w:pPr>
              <w:keepNext/>
              <w:spacing w:before="40" w:after="40"/>
              <w:rPr>
                <w:sz w:val="20"/>
                <w:szCs w:val="20"/>
              </w:rPr>
            </w:pPr>
            <w:r>
              <w:rPr>
                <w:sz w:val="20"/>
                <w:szCs w:val="20"/>
              </w:rPr>
              <w:t>Sykkelveg (dobbeltrettet)</w:t>
            </w:r>
          </w:p>
        </w:tc>
        <w:tc>
          <w:tcPr>
            <w:tcW w:w="0" w:type="auto"/>
            <w:tcBorders>
              <w:top w:val="nil"/>
              <w:left w:val="nil"/>
              <w:bottom w:val="single" w:sz="4" w:space="0" w:color="auto"/>
              <w:right w:val="nil"/>
            </w:tcBorders>
            <w:tcMar>
              <w:top w:w="45" w:type="dxa"/>
              <w:left w:w="105" w:type="dxa"/>
              <w:bottom w:w="45" w:type="dxa"/>
              <w:right w:w="105" w:type="dxa"/>
            </w:tcMar>
          </w:tcPr>
          <w:p w14:paraId="4F56B811" w14:textId="7CDE722B" w:rsidR="00EF3D39" w:rsidRPr="00F735F1" w:rsidRDefault="00EF3D39" w:rsidP="00423B0D">
            <w:pPr>
              <w:keepNext/>
              <w:spacing w:before="40" w:after="40"/>
              <w:rPr>
                <w:sz w:val="20"/>
                <w:szCs w:val="20"/>
              </w:rPr>
            </w:pPr>
            <w:r>
              <w:rPr>
                <w:sz w:val="20"/>
                <w:szCs w:val="20"/>
              </w:rPr>
              <w:t>Kryss</w:t>
            </w:r>
          </w:p>
        </w:tc>
        <w:tc>
          <w:tcPr>
            <w:tcW w:w="0" w:type="auto"/>
            <w:tcBorders>
              <w:top w:val="nil"/>
              <w:left w:val="nil"/>
              <w:bottom w:val="single" w:sz="4" w:space="0" w:color="auto"/>
              <w:right w:val="nil"/>
            </w:tcBorders>
            <w:tcMar>
              <w:top w:w="45" w:type="dxa"/>
              <w:left w:w="105" w:type="dxa"/>
              <w:bottom w:w="45" w:type="dxa"/>
              <w:right w:w="105" w:type="dxa"/>
            </w:tcMar>
          </w:tcPr>
          <w:p w14:paraId="4CE04FB3" w14:textId="5B779FDB" w:rsidR="00EF3D39" w:rsidRPr="00F735F1" w:rsidRDefault="00E06C43" w:rsidP="00423B0D">
            <w:pPr>
              <w:keepNext/>
              <w:spacing w:before="40" w:after="40"/>
              <w:jc w:val="center"/>
              <w:rPr>
                <w:b/>
                <w:bCs/>
                <w:sz w:val="20"/>
                <w:szCs w:val="20"/>
              </w:rPr>
            </w:pPr>
            <w:r>
              <w:rPr>
                <w:b/>
                <w:bCs/>
                <w:sz w:val="20"/>
                <w:szCs w:val="20"/>
              </w:rPr>
              <w:t>+174</w:t>
            </w:r>
          </w:p>
        </w:tc>
        <w:tc>
          <w:tcPr>
            <w:tcW w:w="0" w:type="auto"/>
            <w:tcBorders>
              <w:top w:val="nil"/>
              <w:left w:val="nil"/>
              <w:bottom w:val="single" w:sz="4" w:space="0" w:color="auto"/>
              <w:right w:val="nil"/>
            </w:tcBorders>
            <w:tcMar>
              <w:top w:w="45" w:type="dxa"/>
              <w:left w:w="105" w:type="dxa"/>
              <w:bottom w:w="45" w:type="dxa"/>
              <w:right w:w="105" w:type="dxa"/>
            </w:tcMar>
          </w:tcPr>
          <w:p w14:paraId="545E529A" w14:textId="46FB133A" w:rsidR="00EF3D39" w:rsidRPr="00F735F1" w:rsidRDefault="00E06C43" w:rsidP="00423B0D">
            <w:pPr>
              <w:keepNext/>
              <w:spacing w:before="40" w:after="40"/>
              <w:rPr>
                <w:sz w:val="20"/>
                <w:szCs w:val="20"/>
              </w:rPr>
            </w:pPr>
            <w:r>
              <w:rPr>
                <w:sz w:val="20"/>
                <w:szCs w:val="20"/>
              </w:rPr>
              <w:t>(-70; +2422)</w:t>
            </w:r>
          </w:p>
        </w:tc>
      </w:tr>
      <w:tr w:rsidR="00EF3D39" w:rsidRPr="00F735F1" w14:paraId="63C69FE7" w14:textId="77777777" w:rsidTr="00DE20C0">
        <w:trPr>
          <w:cantSplit/>
        </w:trPr>
        <w:tc>
          <w:tcPr>
            <w:tcW w:w="0" w:type="auto"/>
            <w:tcBorders>
              <w:top w:val="single" w:sz="4" w:space="0" w:color="auto"/>
              <w:left w:val="nil"/>
              <w:bottom w:val="nil"/>
              <w:right w:val="nil"/>
            </w:tcBorders>
            <w:tcMar>
              <w:top w:w="45" w:type="dxa"/>
              <w:left w:w="105" w:type="dxa"/>
              <w:bottom w:w="45" w:type="dxa"/>
              <w:right w:w="105" w:type="dxa"/>
            </w:tcMar>
            <w:hideMark/>
          </w:tcPr>
          <w:p w14:paraId="745D51A9" w14:textId="77777777" w:rsidR="00EF3D39" w:rsidRPr="00F735F1" w:rsidRDefault="00EF3D39" w:rsidP="00423B0D">
            <w:pPr>
              <w:keepNext/>
              <w:spacing w:before="40" w:after="40"/>
              <w:rPr>
                <w:sz w:val="20"/>
                <w:szCs w:val="20"/>
              </w:rPr>
            </w:pPr>
            <w:r w:rsidRPr="00F735F1">
              <w:rPr>
                <w:sz w:val="20"/>
                <w:szCs w:val="20"/>
              </w:rPr>
              <w:t>Alle ulykker</w:t>
            </w:r>
          </w:p>
        </w:tc>
        <w:tc>
          <w:tcPr>
            <w:tcW w:w="0" w:type="auto"/>
            <w:tcBorders>
              <w:top w:val="single" w:sz="4" w:space="0" w:color="auto"/>
              <w:left w:val="nil"/>
              <w:bottom w:val="nil"/>
              <w:right w:val="nil"/>
            </w:tcBorders>
            <w:tcMar>
              <w:top w:w="45" w:type="dxa"/>
              <w:left w:w="105" w:type="dxa"/>
              <w:bottom w:w="45" w:type="dxa"/>
              <w:right w:w="105" w:type="dxa"/>
            </w:tcMar>
            <w:hideMark/>
          </w:tcPr>
          <w:p w14:paraId="3B12C5B1" w14:textId="43BC8511" w:rsidR="00EF3D39" w:rsidRPr="00F735F1" w:rsidRDefault="00EF3D39" w:rsidP="00423B0D">
            <w:pPr>
              <w:keepNext/>
              <w:spacing w:before="40" w:after="40"/>
              <w:rPr>
                <w:sz w:val="20"/>
                <w:szCs w:val="20"/>
              </w:rPr>
            </w:pPr>
            <w:r>
              <w:rPr>
                <w:sz w:val="20"/>
                <w:szCs w:val="20"/>
              </w:rPr>
              <w:t>Sykkelveg (enveisregulert)</w:t>
            </w:r>
          </w:p>
        </w:tc>
        <w:tc>
          <w:tcPr>
            <w:tcW w:w="0" w:type="auto"/>
            <w:tcBorders>
              <w:top w:val="single" w:sz="4" w:space="0" w:color="auto"/>
              <w:left w:val="nil"/>
              <w:bottom w:val="nil"/>
              <w:right w:val="nil"/>
            </w:tcBorders>
            <w:tcMar>
              <w:top w:w="45" w:type="dxa"/>
              <w:left w:w="105" w:type="dxa"/>
              <w:bottom w:w="45" w:type="dxa"/>
              <w:right w:w="105" w:type="dxa"/>
            </w:tcMar>
            <w:hideMark/>
          </w:tcPr>
          <w:p w14:paraId="5A36F689" w14:textId="05A4488A" w:rsidR="00EF3D39" w:rsidRPr="00F735F1" w:rsidRDefault="00EF3D39" w:rsidP="00423B0D">
            <w:pPr>
              <w:keepNext/>
              <w:spacing w:before="40" w:after="40"/>
              <w:rPr>
                <w:sz w:val="20"/>
                <w:szCs w:val="20"/>
              </w:rPr>
            </w:pPr>
            <w:r w:rsidRPr="00F735F1">
              <w:rPr>
                <w:sz w:val="20"/>
                <w:szCs w:val="20"/>
              </w:rPr>
              <w:t>Strekning</w:t>
            </w:r>
          </w:p>
        </w:tc>
        <w:tc>
          <w:tcPr>
            <w:tcW w:w="0" w:type="auto"/>
            <w:tcBorders>
              <w:top w:val="single" w:sz="4" w:space="0" w:color="auto"/>
              <w:left w:val="nil"/>
              <w:bottom w:val="nil"/>
              <w:right w:val="nil"/>
            </w:tcBorders>
            <w:tcMar>
              <w:top w:w="45" w:type="dxa"/>
              <w:left w:w="105" w:type="dxa"/>
              <w:bottom w:w="45" w:type="dxa"/>
              <w:right w:w="105" w:type="dxa"/>
            </w:tcMar>
            <w:hideMark/>
          </w:tcPr>
          <w:p w14:paraId="099CBA71" w14:textId="15478D3D" w:rsidR="00EF3D39" w:rsidRPr="00E06C43" w:rsidRDefault="00EF3D39" w:rsidP="00423B0D">
            <w:pPr>
              <w:keepNext/>
              <w:spacing w:before="40" w:after="40"/>
              <w:jc w:val="center"/>
              <w:rPr>
                <w:b/>
                <w:bCs/>
                <w:sz w:val="20"/>
                <w:szCs w:val="20"/>
              </w:rPr>
            </w:pPr>
            <w:r w:rsidRPr="00F735F1">
              <w:rPr>
                <w:b/>
                <w:bCs/>
                <w:sz w:val="20"/>
                <w:szCs w:val="20"/>
              </w:rPr>
              <w:t>-</w:t>
            </w:r>
            <w:r>
              <w:rPr>
                <w:b/>
                <w:bCs/>
                <w:sz w:val="20"/>
                <w:szCs w:val="20"/>
              </w:rPr>
              <w:t>5</w:t>
            </w:r>
          </w:p>
        </w:tc>
        <w:tc>
          <w:tcPr>
            <w:tcW w:w="0" w:type="auto"/>
            <w:tcBorders>
              <w:top w:val="single" w:sz="4" w:space="0" w:color="auto"/>
              <w:left w:val="nil"/>
              <w:bottom w:val="nil"/>
              <w:right w:val="nil"/>
            </w:tcBorders>
            <w:tcMar>
              <w:top w:w="45" w:type="dxa"/>
              <w:left w:w="105" w:type="dxa"/>
              <w:bottom w:w="45" w:type="dxa"/>
              <w:right w:w="105" w:type="dxa"/>
            </w:tcMar>
            <w:hideMark/>
          </w:tcPr>
          <w:p w14:paraId="5CA93E44" w14:textId="21FB0215" w:rsidR="00EF3D39" w:rsidRPr="00F735F1" w:rsidRDefault="00EF3D39" w:rsidP="00423B0D">
            <w:pPr>
              <w:keepNext/>
              <w:spacing w:before="40" w:after="40"/>
              <w:rPr>
                <w:sz w:val="20"/>
                <w:szCs w:val="20"/>
              </w:rPr>
            </w:pPr>
            <w:r w:rsidRPr="00F735F1">
              <w:rPr>
                <w:sz w:val="20"/>
                <w:szCs w:val="20"/>
              </w:rPr>
              <w:t>(-</w:t>
            </w:r>
            <w:r>
              <w:rPr>
                <w:sz w:val="20"/>
                <w:szCs w:val="20"/>
              </w:rPr>
              <w:t>17</w:t>
            </w:r>
            <w:r w:rsidRPr="00F735F1">
              <w:rPr>
                <w:sz w:val="20"/>
                <w:szCs w:val="20"/>
              </w:rPr>
              <w:t xml:space="preserve">; </w:t>
            </w:r>
            <w:r>
              <w:rPr>
                <w:sz w:val="20"/>
                <w:szCs w:val="20"/>
              </w:rPr>
              <w:t>+10</w:t>
            </w:r>
            <w:r w:rsidRPr="00F735F1">
              <w:rPr>
                <w:sz w:val="20"/>
                <w:szCs w:val="20"/>
              </w:rPr>
              <w:t>)</w:t>
            </w:r>
          </w:p>
        </w:tc>
      </w:tr>
      <w:tr w:rsidR="00EF3D39" w:rsidRPr="00F735F1" w14:paraId="2B7CF57C" w14:textId="77777777" w:rsidTr="00EF3D39">
        <w:trPr>
          <w:cantSplit/>
        </w:trPr>
        <w:tc>
          <w:tcPr>
            <w:tcW w:w="0" w:type="auto"/>
            <w:tcBorders>
              <w:top w:val="nil"/>
              <w:left w:val="nil"/>
              <w:bottom w:val="single" w:sz="12" w:space="0" w:color="000000"/>
              <w:right w:val="nil"/>
            </w:tcBorders>
            <w:tcMar>
              <w:top w:w="45" w:type="dxa"/>
              <w:left w:w="105" w:type="dxa"/>
              <w:bottom w:w="45" w:type="dxa"/>
              <w:right w:w="105" w:type="dxa"/>
            </w:tcMar>
            <w:hideMark/>
          </w:tcPr>
          <w:p w14:paraId="55F13BA8" w14:textId="77777777" w:rsidR="00EF3D39" w:rsidRPr="00F735F1" w:rsidRDefault="00EF3D39" w:rsidP="00423B0D">
            <w:pPr>
              <w:keepNext/>
              <w:spacing w:before="40" w:after="40"/>
              <w:rPr>
                <w:sz w:val="20"/>
                <w:szCs w:val="20"/>
              </w:rPr>
            </w:pPr>
          </w:p>
        </w:tc>
        <w:tc>
          <w:tcPr>
            <w:tcW w:w="0" w:type="auto"/>
            <w:tcBorders>
              <w:top w:val="nil"/>
              <w:left w:val="nil"/>
              <w:bottom w:val="single" w:sz="12" w:space="0" w:color="000000"/>
              <w:right w:val="nil"/>
            </w:tcBorders>
            <w:tcMar>
              <w:top w:w="45" w:type="dxa"/>
              <w:left w:w="105" w:type="dxa"/>
              <w:bottom w:w="45" w:type="dxa"/>
              <w:right w:w="105" w:type="dxa"/>
            </w:tcMar>
            <w:hideMark/>
          </w:tcPr>
          <w:p w14:paraId="228A7499" w14:textId="52BC7214" w:rsidR="00EF3D39" w:rsidRPr="00F735F1" w:rsidRDefault="00EF3D39" w:rsidP="00423B0D">
            <w:pPr>
              <w:keepNext/>
              <w:spacing w:before="40" w:after="40"/>
              <w:rPr>
                <w:sz w:val="20"/>
                <w:szCs w:val="20"/>
              </w:rPr>
            </w:pPr>
            <w:r>
              <w:rPr>
                <w:sz w:val="20"/>
                <w:szCs w:val="20"/>
              </w:rPr>
              <w:t>Sykkelveg (enveisregulert)</w:t>
            </w:r>
          </w:p>
        </w:tc>
        <w:tc>
          <w:tcPr>
            <w:tcW w:w="0" w:type="auto"/>
            <w:tcBorders>
              <w:top w:val="nil"/>
              <w:left w:val="nil"/>
              <w:bottom w:val="single" w:sz="12" w:space="0" w:color="000000"/>
              <w:right w:val="nil"/>
            </w:tcBorders>
            <w:tcMar>
              <w:top w:w="45" w:type="dxa"/>
              <w:left w:w="105" w:type="dxa"/>
              <w:bottom w:w="45" w:type="dxa"/>
              <w:right w:w="105" w:type="dxa"/>
            </w:tcMar>
            <w:hideMark/>
          </w:tcPr>
          <w:p w14:paraId="34A7DFE2" w14:textId="59507D08" w:rsidR="00EF3D39" w:rsidRPr="00F735F1" w:rsidRDefault="00EF3D39" w:rsidP="00423B0D">
            <w:pPr>
              <w:keepNext/>
              <w:spacing w:before="40" w:after="40"/>
              <w:rPr>
                <w:sz w:val="20"/>
                <w:szCs w:val="20"/>
              </w:rPr>
            </w:pPr>
            <w:r>
              <w:rPr>
                <w:sz w:val="20"/>
                <w:szCs w:val="20"/>
              </w:rPr>
              <w:t>Kryss</w:t>
            </w:r>
          </w:p>
        </w:tc>
        <w:tc>
          <w:tcPr>
            <w:tcW w:w="0" w:type="auto"/>
            <w:tcBorders>
              <w:top w:val="nil"/>
              <w:left w:val="nil"/>
              <w:bottom w:val="single" w:sz="12" w:space="0" w:color="000000"/>
              <w:right w:val="nil"/>
            </w:tcBorders>
            <w:tcMar>
              <w:top w:w="45" w:type="dxa"/>
              <w:left w:w="105" w:type="dxa"/>
              <w:bottom w:w="45" w:type="dxa"/>
              <w:right w:w="105" w:type="dxa"/>
            </w:tcMar>
          </w:tcPr>
          <w:p w14:paraId="2744B3D3" w14:textId="39960B21" w:rsidR="00EF3D39" w:rsidRPr="00E06C43" w:rsidRDefault="00E06C43" w:rsidP="00423B0D">
            <w:pPr>
              <w:keepNext/>
              <w:spacing w:before="40" w:after="40"/>
              <w:jc w:val="center"/>
              <w:rPr>
                <w:b/>
                <w:bCs/>
                <w:sz w:val="20"/>
                <w:szCs w:val="20"/>
              </w:rPr>
            </w:pPr>
            <w:r w:rsidRPr="00E06C43">
              <w:rPr>
                <w:b/>
                <w:bCs/>
                <w:sz w:val="20"/>
                <w:szCs w:val="20"/>
              </w:rPr>
              <w:t>+18</w:t>
            </w:r>
          </w:p>
        </w:tc>
        <w:tc>
          <w:tcPr>
            <w:tcW w:w="0" w:type="auto"/>
            <w:tcBorders>
              <w:top w:val="nil"/>
              <w:left w:val="nil"/>
              <w:bottom w:val="single" w:sz="12" w:space="0" w:color="000000"/>
              <w:right w:val="nil"/>
            </w:tcBorders>
            <w:tcMar>
              <w:top w:w="45" w:type="dxa"/>
              <w:left w:w="105" w:type="dxa"/>
              <w:bottom w:w="45" w:type="dxa"/>
              <w:right w:w="105" w:type="dxa"/>
            </w:tcMar>
          </w:tcPr>
          <w:p w14:paraId="11B36D83" w14:textId="6F630898" w:rsidR="00EF3D39" w:rsidRPr="00F735F1" w:rsidRDefault="00E06C43" w:rsidP="00423B0D">
            <w:pPr>
              <w:keepNext/>
              <w:spacing w:before="40" w:after="40"/>
              <w:rPr>
                <w:sz w:val="20"/>
                <w:szCs w:val="20"/>
              </w:rPr>
            </w:pPr>
            <w:r w:rsidRPr="00E06C43">
              <w:rPr>
                <w:sz w:val="20"/>
                <w:szCs w:val="20"/>
              </w:rPr>
              <w:t>(</w:t>
            </w:r>
            <w:r>
              <w:rPr>
                <w:sz w:val="20"/>
                <w:szCs w:val="20"/>
              </w:rPr>
              <w:t>+</w:t>
            </w:r>
            <w:r w:rsidRPr="00E06C43">
              <w:rPr>
                <w:sz w:val="20"/>
                <w:szCs w:val="20"/>
              </w:rPr>
              <w:t xml:space="preserve">6; </w:t>
            </w:r>
            <w:r>
              <w:rPr>
                <w:sz w:val="20"/>
                <w:szCs w:val="20"/>
              </w:rPr>
              <w:t>+</w:t>
            </w:r>
            <w:r w:rsidRPr="00E06C43">
              <w:rPr>
                <w:sz w:val="20"/>
                <w:szCs w:val="20"/>
              </w:rPr>
              <w:t>30)</w:t>
            </w:r>
          </w:p>
        </w:tc>
      </w:tr>
    </w:tbl>
    <w:p w14:paraId="2B3774AA" w14:textId="77777777" w:rsidR="00F735F1" w:rsidRDefault="00F735F1" w:rsidP="00F735F1"/>
    <w:p w14:paraId="363BDC46" w14:textId="52276411" w:rsidR="002C347A" w:rsidRDefault="004C5318" w:rsidP="00F735F1">
      <w:r w:rsidRPr="004C5318">
        <w:rPr>
          <w:b/>
          <w:bCs/>
        </w:rPr>
        <w:t xml:space="preserve">Virkning på strekninger: </w:t>
      </w:r>
      <w:r w:rsidR="00523D20">
        <w:t xml:space="preserve">Resultatene </w:t>
      </w:r>
      <w:r w:rsidR="002C347A">
        <w:t>tyder på</w:t>
      </w:r>
      <w:r w:rsidR="00523D20">
        <w:t xml:space="preserve"> at </w:t>
      </w:r>
      <w:r w:rsidR="00DB7BF7">
        <w:t xml:space="preserve">veger med </w:t>
      </w:r>
      <w:r w:rsidR="00523D20">
        <w:t xml:space="preserve">sykkelveg </w:t>
      </w:r>
      <w:r w:rsidR="00737462">
        <w:t xml:space="preserve">i gjennomsnitt </w:t>
      </w:r>
      <w:r w:rsidR="00523D20">
        <w:t xml:space="preserve">har færre sykkelulykker </w:t>
      </w:r>
      <w:r w:rsidR="00DB7BF7">
        <w:t xml:space="preserve">på strekninger </w:t>
      </w:r>
      <w:r w:rsidR="00523D20">
        <w:t>enn blandet trafikk</w:t>
      </w:r>
      <w:r w:rsidR="002C347A">
        <w:t xml:space="preserve">, men virkningene er meget usikre. Det er funnet en større effekt for dobbeltrettet enn for enveisregulert sykkelveg, men usikkerheten er for stor til å konkludere at dobbeltrettet sykkelveg faktisk er sikrere. Det er trolig andre forskjeller mellom studiene som påvirker resultatene. Det totale antall ulykker er omtrent lik på strekninger med og uten sykkelveg (her foreligger kun resultater for enveisregulert sykkelveg). </w:t>
      </w:r>
    </w:p>
    <w:p w14:paraId="2116B20D" w14:textId="47A92F30" w:rsidR="004C5318" w:rsidRDefault="004C5318" w:rsidP="004C5318">
      <w:r>
        <w:lastRenderedPageBreak/>
        <w:t>Andre faktorer (enn enveisregulering) som kan påvirke ulykkesrisikoen på sykkelveger</w:t>
      </w:r>
      <w:r w:rsidR="002C347A">
        <w:t>,</w:t>
      </w:r>
      <w:r>
        <w:t xml:space="preserve"> er bl.a. bredden og separeringen fra motorisert trafikk og gående (Høye &amp; De Jong, 2023). Bredere sykkelveger er som regel både sikrere </w:t>
      </w:r>
      <w:r w:rsidR="002C347A">
        <w:t xml:space="preserve">og oppleves tryggere </w:t>
      </w:r>
      <w:r>
        <w:t xml:space="preserve">enn smale sykkelveger. Fysisk separering i form av </w:t>
      </w:r>
      <w:r w:rsidR="002C347A">
        <w:t xml:space="preserve">kantstein eller </w:t>
      </w:r>
      <w:r>
        <w:t xml:space="preserve">fysiske hindre </w:t>
      </w:r>
      <w:r w:rsidRPr="004C5318">
        <w:rPr>
          <w:i/>
          <w:iCs/>
        </w:rPr>
        <w:t>kan</w:t>
      </w:r>
      <w:r>
        <w:t xml:space="preserve"> gjøre sykkelvegen sikrere, f.eks. hvis den forhindrer at gående benytter sykkelvegen. Dette kommer imidlertid an på bl.a. type hinder og sykkelvegbredden. Påkjøringsfarlige hindre</w:t>
      </w:r>
      <w:r w:rsidR="002C347A">
        <w:t>, som pullerter</w:t>
      </w:r>
      <w:r w:rsidR="005E6A75">
        <w:t>, gjerder</w:t>
      </w:r>
      <w:r w:rsidR="002C347A">
        <w:t xml:space="preserve"> eller kantstein,</w:t>
      </w:r>
      <w:r>
        <w:t xml:space="preserve"> kan </w:t>
      </w:r>
      <w:r w:rsidR="002E73C1">
        <w:t>øke</w:t>
      </w:r>
      <w:r>
        <w:t xml:space="preserve"> risiko</w:t>
      </w:r>
      <w:r w:rsidR="002E73C1">
        <w:t>en</w:t>
      </w:r>
      <w:r>
        <w:t xml:space="preserve"> når syklistene ikke kan holde tilstrekkelig avstand. Gateparkering med for lite avstand til sykkelvegen kan også </w:t>
      </w:r>
      <w:r w:rsidR="002E73C1">
        <w:t xml:space="preserve">øke </w:t>
      </w:r>
      <w:r>
        <w:t>risiko</w:t>
      </w:r>
      <w:r w:rsidR="002E73C1">
        <w:t>en</w:t>
      </w:r>
      <w:r>
        <w:t xml:space="preserve">.  </w:t>
      </w:r>
    </w:p>
    <w:p w14:paraId="3F8EBC56" w14:textId="2959A63E" w:rsidR="00523D20" w:rsidRDefault="004C5318" w:rsidP="00F735F1">
      <w:r w:rsidRPr="004C5318">
        <w:rPr>
          <w:b/>
          <w:bCs/>
        </w:rPr>
        <w:t xml:space="preserve">Virkning i kryss: </w:t>
      </w:r>
      <w:r w:rsidR="00523D20">
        <w:t xml:space="preserve">I kryss er det en stor forskjell mellom </w:t>
      </w:r>
      <w:r w:rsidR="00737462">
        <w:t>dobbeltrettede og enveisregulerte sykkelveger</w:t>
      </w:r>
      <w:r w:rsidR="00AB1F62">
        <w:t>. I</w:t>
      </w:r>
      <w:r w:rsidR="00737462">
        <w:t xml:space="preserve"> kryss med </w:t>
      </w:r>
      <w:r w:rsidR="00737462" w:rsidRPr="00AB1F62">
        <w:t>enveisregulert</w:t>
      </w:r>
      <w:r w:rsidR="00737462">
        <w:t xml:space="preserve"> sykkelveg </w:t>
      </w:r>
      <w:r w:rsidR="00DB7BF7">
        <w:t xml:space="preserve">har syklister </w:t>
      </w:r>
      <w:r w:rsidR="00737462" w:rsidRPr="00AB1F62">
        <w:rPr>
          <w:i/>
          <w:iCs/>
        </w:rPr>
        <w:t>lavere</w:t>
      </w:r>
      <w:r w:rsidR="00737462">
        <w:t xml:space="preserve"> risiko enn i blandet trafikk, og i kryss med dobbeltrettet sykkelveg </w:t>
      </w:r>
      <w:r w:rsidR="00DB7BF7">
        <w:t xml:space="preserve">har de </w:t>
      </w:r>
      <w:r w:rsidR="00737462" w:rsidRPr="00AB1F62">
        <w:rPr>
          <w:i/>
          <w:iCs/>
        </w:rPr>
        <w:t>høyere</w:t>
      </w:r>
      <w:r w:rsidR="00737462">
        <w:t xml:space="preserve"> risiko</w:t>
      </w:r>
      <w:r w:rsidR="00E42C22" w:rsidRPr="00E42C22">
        <w:t xml:space="preserve"> </w:t>
      </w:r>
      <w:r w:rsidR="00E42C22">
        <w:t>enn i blandet trafikk</w:t>
      </w:r>
      <w:r w:rsidR="00737462">
        <w:t>. Resultatene er meget usikre, men mønsteret er konsistent med funn i mange andre studier som har sammenlignet enveisregulert og dobbeltrettet sykkelveg (se neste avsnitt).</w:t>
      </w:r>
      <w:r w:rsidR="00AB1F62">
        <w:t xml:space="preserve"> </w:t>
      </w:r>
    </w:p>
    <w:p w14:paraId="66BB5469" w14:textId="2E6FEBF0" w:rsidR="00152E35" w:rsidRPr="00152E35" w:rsidRDefault="00152E35" w:rsidP="00152E35">
      <w:r w:rsidRPr="00152E35">
        <w:rPr>
          <w:b/>
          <w:bCs/>
        </w:rPr>
        <w:t xml:space="preserve">Andre virkninger – </w:t>
      </w:r>
      <w:proofErr w:type="spellStart"/>
      <w:r w:rsidRPr="00152E35">
        <w:rPr>
          <w:b/>
          <w:bCs/>
        </w:rPr>
        <w:t>Safety</w:t>
      </w:r>
      <w:proofErr w:type="spellEnd"/>
      <w:r w:rsidRPr="00152E35">
        <w:rPr>
          <w:b/>
          <w:bCs/>
        </w:rPr>
        <w:t>-in-</w:t>
      </w:r>
      <w:proofErr w:type="spellStart"/>
      <w:r w:rsidRPr="00152E35">
        <w:rPr>
          <w:b/>
          <w:bCs/>
        </w:rPr>
        <w:t>Numbers</w:t>
      </w:r>
      <w:proofErr w:type="spellEnd"/>
      <w:r w:rsidRPr="00152E35">
        <w:rPr>
          <w:b/>
          <w:bCs/>
        </w:rPr>
        <w:t>:</w:t>
      </w:r>
      <w:r w:rsidRPr="00152E35">
        <w:t xml:space="preserve"> </w:t>
      </w:r>
      <w:r>
        <w:t>Veger med god sykkeltilrettelegging som f.eks. sykkelveger og -felt, er som regel mer attraktive for syklister. Når sykkeltilretteleggingen tiltrekker syklister, kan dette redusere risikoen for syklistene ved at de benytter sikrere infrastruktur. I tillegg kan risikoen forventes å gå n</w:t>
      </w:r>
      <w:r w:rsidRPr="00152E35">
        <w:t>ed som følge av at flere sykler («</w:t>
      </w:r>
      <w:proofErr w:type="spellStart"/>
      <w:r w:rsidRPr="00152E35">
        <w:t>Safety</w:t>
      </w:r>
      <w:proofErr w:type="spellEnd"/>
      <w:r w:rsidRPr="00152E35">
        <w:t>-in-</w:t>
      </w:r>
      <w:proofErr w:type="spellStart"/>
      <w:r w:rsidRPr="00152E35">
        <w:t>Numbers</w:t>
      </w:r>
      <w:bookmarkStart w:id="36" w:name="_Hlk198216061"/>
      <w:proofErr w:type="spellEnd"/>
      <w:r w:rsidRPr="00152E35">
        <w:t xml:space="preserve">», </w:t>
      </w:r>
      <w:r w:rsidR="00E764C0">
        <w:t xml:space="preserve">Fyhri et al., 2017; </w:t>
      </w:r>
      <w:proofErr w:type="spellStart"/>
      <w:r w:rsidRPr="00152E35">
        <w:t>Marqués</w:t>
      </w:r>
      <w:proofErr w:type="spellEnd"/>
      <w:r w:rsidRPr="00152E35">
        <w:t xml:space="preserve"> &amp; </w:t>
      </w:r>
      <w:proofErr w:type="spellStart"/>
      <w:r w:rsidRPr="00152E35">
        <w:t>Hernández-Herrador</w:t>
      </w:r>
      <w:proofErr w:type="spellEnd"/>
      <w:r w:rsidRPr="00152E35">
        <w:t>, 2017).</w:t>
      </w:r>
    </w:p>
    <w:bookmarkEnd w:id="36"/>
    <w:p w14:paraId="735F399B" w14:textId="79DF22DF" w:rsidR="00BE30CB" w:rsidRDefault="004673AA" w:rsidP="00956076">
      <w:pPr>
        <w:pStyle w:val="Overskrift3"/>
      </w:pPr>
      <w:r>
        <w:t>Dobbeltrettet vs. e</w:t>
      </w:r>
      <w:r w:rsidR="00B63401">
        <w:t xml:space="preserve">nveisregulert </w:t>
      </w:r>
      <w:r w:rsidR="00BE30CB" w:rsidRPr="00956076">
        <w:t>sykkelveg</w:t>
      </w:r>
    </w:p>
    <w:p w14:paraId="31C3454F" w14:textId="2B67B01C" w:rsidR="00AB1F62" w:rsidRDefault="00AB1F62" w:rsidP="00BE30CB">
      <w:r>
        <w:t xml:space="preserve">Studiene som er oppsummert i avsnittet over, viser at dobbeltrettet sykkelveg har høyere risiko i kryss </w:t>
      </w:r>
      <w:r w:rsidR="00DB7BF7">
        <w:t xml:space="preserve">for syklister </w:t>
      </w:r>
      <w:r>
        <w:t xml:space="preserve">enn blandet trafikk, mens enveisregulert sykkelveg har lavere risiko. </w:t>
      </w:r>
      <w:r w:rsidR="004673AA">
        <w:t xml:space="preserve">Resultatene for sykkelfelt viser at enveisregulert sykkelveg har omtrent samme risiko som sykkelfelt, mens dobbeltrettet sykkelveg har høyere risiko. </w:t>
      </w:r>
    </w:p>
    <w:p w14:paraId="2731DE0E" w14:textId="35A4B3E9" w:rsidR="00BE30CB" w:rsidRPr="00074C99" w:rsidRDefault="00AB1F62" w:rsidP="00BE30CB">
      <w:r>
        <w:t xml:space="preserve">To studier har direkte sammenlignet ulykkesrisikoen for syklister </w:t>
      </w:r>
      <w:r w:rsidR="004C5318">
        <w:t xml:space="preserve">i kryss </w:t>
      </w:r>
      <w:r>
        <w:t xml:space="preserve">med </w:t>
      </w:r>
      <w:r w:rsidR="00BE30CB" w:rsidRPr="00074C99">
        <w:t xml:space="preserve">dobbeltrettet </w:t>
      </w:r>
      <w:r>
        <w:t xml:space="preserve">vs. </w:t>
      </w:r>
      <w:r w:rsidR="00BE30CB" w:rsidRPr="00074C99">
        <w:t>ensrettet sykkelveg</w:t>
      </w:r>
      <w:r w:rsidR="004C5318">
        <w:t>:</w:t>
      </w:r>
    </w:p>
    <w:p w14:paraId="3F20848B" w14:textId="577FB8C2" w:rsidR="00BE30CB" w:rsidRPr="00074C99" w:rsidRDefault="00BE30CB" w:rsidP="00956076">
      <w:pPr>
        <w:ind w:left="567"/>
      </w:pPr>
      <w:bookmarkStart w:id="37" w:name="_Hlk198216072"/>
      <w:proofErr w:type="spellStart"/>
      <w:r w:rsidRPr="00074C99">
        <w:t>Schepers</w:t>
      </w:r>
      <w:proofErr w:type="spellEnd"/>
      <w:r w:rsidRPr="00074C99">
        <w:t xml:space="preserve"> et al., 2011 (Nederland)</w:t>
      </w:r>
      <w:r w:rsidR="00D679BB" w:rsidRPr="00074C99">
        <w:br/>
      </w:r>
      <w:proofErr w:type="spellStart"/>
      <w:r w:rsidR="00D679BB" w:rsidRPr="00074C99">
        <w:t>Hauksson</w:t>
      </w:r>
      <w:proofErr w:type="spellEnd"/>
      <w:r w:rsidR="00D679BB" w:rsidRPr="00074C99">
        <w:t>, 2014 (Sverige)</w:t>
      </w:r>
    </w:p>
    <w:bookmarkEnd w:id="37"/>
    <w:p w14:paraId="02894117" w14:textId="56247166" w:rsidR="00DC7D58" w:rsidRDefault="00074C99" w:rsidP="00DC7D58">
      <w:r w:rsidRPr="00074C99">
        <w:t xml:space="preserve">Sammenlagt viser resultatene </w:t>
      </w:r>
      <w:r w:rsidR="00DC7D58">
        <w:t xml:space="preserve">at ulykkesrisikoen for syklister i kryss er </w:t>
      </w:r>
      <w:r w:rsidR="004673AA">
        <w:t>59</w:t>
      </w:r>
      <w:r w:rsidR="00DC7D58">
        <w:t xml:space="preserve"> prosent høyere (+</w:t>
      </w:r>
      <w:r w:rsidR="004673AA">
        <w:t>18</w:t>
      </w:r>
      <w:r w:rsidR="00DC7D58">
        <w:t>; +</w:t>
      </w:r>
      <w:r w:rsidR="004673AA">
        <w:t>116</w:t>
      </w:r>
      <w:r w:rsidR="00DC7D58">
        <w:t xml:space="preserve">) på dobbeltrettet sykkelveg enn på enveisregulert sykkelveg. Alle resultatene gjelder ulykker i kryss, og det er kontrollert for antall syklister. For strekninger foreligger ingen resultater. </w:t>
      </w:r>
      <w:r w:rsidR="001B5178">
        <w:t>I en</w:t>
      </w:r>
      <w:r w:rsidR="00DC7D58">
        <w:t xml:space="preserve"> studie fra Belgia (</w:t>
      </w:r>
      <w:bookmarkStart w:id="38" w:name="_Hlk198216078"/>
      <w:proofErr w:type="spellStart"/>
      <w:r w:rsidR="00DC7D58" w:rsidRPr="00943ECD">
        <w:t>Vandenbulcke</w:t>
      </w:r>
      <w:proofErr w:type="spellEnd"/>
      <w:r w:rsidR="00DC7D58" w:rsidRPr="00943ECD">
        <w:t xml:space="preserve"> et al., 2014</w:t>
      </w:r>
      <w:bookmarkEnd w:id="38"/>
      <w:r w:rsidR="00DC7D58" w:rsidRPr="00943ECD">
        <w:t>)</w:t>
      </w:r>
      <w:r w:rsidR="00DC7D58">
        <w:t xml:space="preserve"> </w:t>
      </w:r>
      <w:r w:rsidR="001B5178">
        <w:t xml:space="preserve">er </w:t>
      </w:r>
      <w:r w:rsidR="00DC7D58">
        <w:t>risikoen for syklister på dobbeltrettet sykkelveg er omtrent dobbelt så høy som på enveisregulert sykkelveg i kryss.</w:t>
      </w:r>
    </w:p>
    <w:p w14:paraId="065615B3" w14:textId="07B8FF85" w:rsidR="00BE30CB" w:rsidRDefault="00BE30CB" w:rsidP="001B5178">
      <w:r w:rsidRPr="00074C99">
        <w:t>Risikoen for ulykker på dobbeltrettet sykkelveg er størst for syklister som sykler på venstre side av vegen, dvs. på «feil» side, sett fra kryssende bilisters perspektiv (</w:t>
      </w:r>
      <w:bookmarkStart w:id="39" w:name="_Hlk198216090"/>
      <w:r w:rsidR="00DC7D58">
        <w:t>Johannsen &amp;</w:t>
      </w:r>
      <w:r w:rsidR="00DC7D58" w:rsidRPr="00074C99">
        <w:rPr>
          <w:color w:val="7030A0"/>
        </w:rPr>
        <w:t xml:space="preserve"> </w:t>
      </w:r>
      <w:proofErr w:type="spellStart"/>
      <w:r w:rsidR="00DC7D58" w:rsidRPr="00074C99">
        <w:t>Jänsch</w:t>
      </w:r>
      <w:proofErr w:type="spellEnd"/>
      <w:r w:rsidR="00DC7D58">
        <w:t xml:space="preserve">, 2017, Tyskland; Harris et al., 2013, Canada; Thomas &amp; </w:t>
      </w:r>
      <w:proofErr w:type="spellStart"/>
      <w:r w:rsidR="00DC7D58">
        <w:t>DeRobertis</w:t>
      </w:r>
      <w:proofErr w:type="spellEnd"/>
      <w:r w:rsidR="00DC7D58">
        <w:t>, 2013, litteraturstudie</w:t>
      </w:r>
      <w:r w:rsidR="001B5178">
        <w:t>;</w:t>
      </w:r>
      <w:r w:rsidR="001B5178" w:rsidRPr="001B5178">
        <w:t xml:space="preserve"> </w:t>
      </w:r>
      <w:proofErr w:type="spellStart"/>
      <w:r w:rsidR="001B5178" w:rsidRPr="00074C99">
        <w:t>Schepers</w:t>
      </w:r>
      <w:proofErr w:type="spellEnd"/>
      <w:r w:rsidR="001B5178" w:rsidRPr="00074C99">
        <w:t xml:space="preserve"> &amp; </w:t>
      </w:r>
      <w:proofErr w:type="spellStart"/>
      <w:r w:rsidR="001B5178" w:rsidRPr="00074C99">
        <w:t>Voorham</w:t>
      </w:r>
      <w:proofErr w:type="spellEnd"/>
      <w:r w:rsidR="001B5178" w:rsidRPr="00074C99">
        <w:t>, 2010, Nederland</w:t>
      </w:r>
      <w:r w:rsidR="00DC7D58">
        <w:t xml:space="preserve">). </w:t>
      </w:r>
      <w:r w:rsidR="007645A8">
        <w:t>De har ogs</w:t>
      </w:r>
      <w:r w:rsidR="007645A8" w:rsidRPr="007645A8">
        <w:t xml:space="preserve">å </w:t>
      </w:r>
      <w:r w:rsidRPr="007645A8">
        <w:t>flere konflikter med motorkjøretøy enn syklister som sykler i blandet trafikk (</w:t>
      </w:r>
      <w:proofErr w:type="spellStart"/>
      <w:r w:rsidRPr="007645A8">
        <w:t>Pedler</w:t>
      </w:r>
      <w:proofErr w:type="spellEnd"/>
      <w:r w:rsidRPr="007645A8">
        <w:t xml:space="preserve"> &amp; Davies, 2000, Storbritannia). </w:t>
      </w:r>
    </w:p>
    <w:bookmarkEnd w:id="39"/>
    <w:p w14:paraId="3A274623" w14:textId="704966CB" w:rsidR="007645A8" w:rsidRDefault="007645A8" w:rsidP="007645A8">
      <w:r>
        <w:t>Forklaringen på den høye risikoen for syklister som sykler mot kjøreretningen i forhold til det inntilliggende kjørefeltet er trolig at syklistene opplever en falsk trygghet på grunn av den fysiske separeringen på strekningen, samtidig som bilister lett overser dem da de ikke forventer syklister fra «feil» retning (</w:t>
      </w:r>
      <w:proofErr w:type="spellStart"/>
      <w:r w:rsidRPr="00943ECD">
        <w:t>Vandenbulcke</w:t>
      </w:r>
      <w:proofErr w:type="spellEnd"/>
      <w:r w:rsidRPr="00943ECD">
        <w:t xml:space="preserve"> et al., 2014</w:t>
      </w:r>
      <w:r>
        <w:t xml:space="preserve">). </w:t>
      </w:r>
    </w:p>
    <w:p w14:paraId="2F8B2914" w14:textId="588CC288" w:rsidR="00BE30CB" w:rsidRDefault="00BE30CB" w:rsidP="00956076">
      <w:pPr>
        <w:pStyle w:val="Overskrift3"/>
      </w:pPr>
      <w:r w:rsidRPr="00956076">
        <w:t>Sykkelveg vs. sykkelfelt</w:t>
      </w:r>
    </w:p>
    <w:p w14:paraId="08B3AED3" w14:textId="0FDFA3E6" w:rsidR="00BE30CB" w:rsidRPr="003C43A7" w:rsidRDefault="00BE30CB" w:rsidP="004A6867">
      <w:r w:rsidRPr="003C43A7">
        <w:t xml:space="preserve">Det er funnet </w:t>
      </w:r>
      <w:r w:rsidR="008C4DB6">
        <w:t xml:space="preserve">fire </w:t>
      </w:r>
      <w:r w:rsidRPr="003C43A7">
        <w:t xml:space="preserve">studier som har </w:t>
      </w:r>
      <w:r w:rsidR="004A6867">
        <w:t>sammenlignet ulykkesrisikoen for syklister mellom veger med sykkelveg og veger med sykkelfelt</w:t>
      </w:r>
      <w:r w:rsidRPr="003C43A7">
        <w:t>:</w:t>
      </w:r>
    </w:p>
    <w:p w14:paraId="70467DDC" w14:textId="3FEEE64E" w:rsidR="00BE30CB" w:rsidRPr="004A6867" w:rsidRDefault="00BE30CB" w:rsidP="00956076">
      <w:pPr>
        <w:ind w:left="284"/>
        <w:rPr>
          <w:lang w:val="da-DK"/>
        </w:rPr>
      </w:pPr>
      <w:bookmarkStart w:id="40" w:name="_Hlk198216115"/>
      <w:r w:rsidRPr="004A6867">
        <w:rPr>
          <w:lang w:val="da-DK"/>
        </w:rPr>
        <w:lastRenderedPageBreak/>
        <w:t>Schepers et al., 2011 (Nederland)</w:t>
      </w:r>
      <w:r w:rsidRPr="004A6867">
        <w:rPr>
          <w:lang w:val="da-DK"/>
        </w:rPr>
        <w:br/>
        <w:t>Poulos et al. 2015 (Australia)</w:t>
      </w:r>
      <w:r w:rsidR="00354628">
        <w:rPr>
          <w:lang w:val="da-DK"/>
        </w:rPr>
        <w:br/>
      </w:r>
      <w:r w:rsidR="00354628" w:rsidRPr="00354628">
        <w:rPr>
          <w:lang w:val="da-DK"/>
        </w:rPr>
        <w:t>Ling et al., 2020 (Canada)</w:t>
      </w:r>
      <w:r w:rsidR="004A6867" w:rsidRPr="004A6867">
        <w:rPr>
          <w:lang w:val="da-DK"/>
        </w:rPr>
        <w:br/>
        <w:t>van Petegem et al., 2021 (Nederland)</w:t>
      </w:r>
    </w:p>
    <w:bookmarkEnd w:id="40"/>
    <w:p w14:paraId="0B55A441" w14:textId="2464D917" w:rsidR="008C4DB6" w:rsidRDefault="004A6867" w:rsidP="004A6867">
      <w:r w:rsidRPr="004A6867">
        <w:t xml:space="preserve">På </w:t>
      </w:r>
      <w:r w:rsidRPr="004A6867">
        <w:rPr>
          <w:b/>
          <w:bCs/>
        </w:rPr>
        <w:t>strekninger</w:t>
      </w:r>
      <w:r w:rsidRPr="004A6867">
        <w:t xml:space="preserve"> </w:t>
      </w:r>
      <w:r w:rsidR="00354628">
        <w:t>viser resultatene praktisk talt ingen forskjell mellom enveisregulert sykkelveg og sykkelfelt (-4 prosent sykkelulykker [-38; +47]</w:t>
      </w:r>
      <w:r w:rsidR="005E6A75">
        <w:t xml:space="preserve"> på enveisregulert sykkelveg</w:t>
      </w:r>
      <w:r w:rsidR="00354628">
        <w:t xml:space="preserve">). </w:t>
      </w:r>
    </w:p>
    <w:p w14:paraId="0CF9E7DB" w14:textId="45DFB88C" w:rsidR="004A6867" w:rsidRDefault="00534039" w:rsidP="004A6867">
      <w:r>
        <w:t>Ett av resultatene gjelder i hovedsak dobbeltrettet sykkelveg (</w:t>
      </w:r>
      <w:proofErr w:type="spellStart"/>
      <w:r>
        <w:t>Poulos</w:t>
      </w:r>
      <w:proofErr w:type="spellEnd"/>
      <w:r>
        <w:t xml:space="preserve"> et al., 2015), og dette viser at </w:t>
      </w:r>
      <w:r w:rsidR="008C4DB6">
        <w:t xml:space="preserve">syklister </w:t>
      </w:r>
      <w:r>
        <w:t xml:space="preserve">har 42 prosent </w:t>
      </w:r>
      <w:r w:rsidRPr="005E6A75">
        <w:rPr>
          <w:i/>
          <w:iCs/>
        </w:rPr>
        <w:t>høyere</w:t>
      </w:r>
      <w:r>
        <w:t xml:space="preserve"> ulykkesrisiko (-12; +129) på </w:t>
      </w:r>
      <w:r w:rsidR="008C4DB6">
        <w:t xml:space="preserve">dobbeltrettet </w:t>
      </w:r>
      <w:r>
        <w:t xml:space="preserve">sykkelveg enn </w:t>
      </w:r>
      <w:r w:rsidR="005E6A75">
        <w:t>i</w:t>
      </w:r>
      <w:r>
        <w:t xml:space="preserve"> sykkelfelt. </w:t>
      </w:r>
    </w:p>
    <w:p w14:paraId="59D8ACCE" w14:textId="63BB7B67" w:rsidR="004A6867" w:rsidRDefault="004A6867" w:rsidP="004A6867">
      <w:r w:rsidRPr="004A6867">
        <w:t xml:space="preserve">I </w:t>
      </w:r>
      <w:r w:rsidRPr="004A6867">
        <w:rPr>
          <w:b/>
          <w:bCs/>
        </w:rPr>
        <w:t>kryss</w:t>
      </w:r>
      <w:r w:rsidRPr="004A6867">
        <w:t xml:space="preserve"> </w:t>
      </w:r>
      <w:r>
        <w:t xml:space="preserve">viser </w:t>
      </w:r>
      <w:proofErr w:type="spellStart"/>
      <w:r w:rsidR="00BE30CB" w:rsidRPr="004A6867">
        <w:t>Schepers</w:t>
      </w:r>
      <w:proofErr w:type="spellEnd"/>
      <w:r w:rsidR="00BE30CB" w:rsidRPr="004A6867">
        <w:t xml:space="preserve"> et al. </w:t>
      </w:r>
      <w:r w:rsidR="00BE30CB" w:rsidRPr="003C43A7">
        <w:t xml:space="preserve">(2011) </w:t>
      </w:r>
      <w:r>
        <w:t xml:space="preserve">at veier med </w:t>
      </w:r>
      <w:r w:rsidR="008C4DB6">
        <w:t xml:space="preserve">enveisregulert </w:t>
      </w:r>
      <w:r>
        <w:t xml:space="preserve">sykkelveg har 35 prosent lavere risiko for syklister enn </w:t>
      </w:r>
      <w:r w:rsidR="008C4DB6">
        <w:t xml:space="preserve">veger </w:t>
      </w:r>
      <w:r>
        <w:t xml:space="preserve">med sykkelfelt, men resultatet er meget usikkert (-72; +51]). Kryssene i denne studien er vikepliktsregulert, sykkelvegen er enveisregulert, trafikken på sidevegen har vikeplikt for syklistene, og det er en avstand på noen meter mellom veg og sykkelveg. </w:t>
      </w:r>
    </w:p>
    <w:p w14:paraId="056C341F" w14:textId="744943A6" w:rsidR="00BE30CB" w:rsidRPr="00A756A9" w:rsidRDefault="00BE30CB" w:rsidP="006F1161">
      <w:pPr>
        <w:pStyle w:val="Overskrift2"/>
        <w:rPr>
          <w:rFonts w:eastAsiaTheme="minorHAnsi"/>
        </w:rPr>
      </w:pPr>
      <w:bookmarkStart w:id="41" w:name="_Toc206753744"/>
      <w:r w:rsidRPr="00A756A9">
        <w:rPr>
          <w:rFonts w:eastAsiaTheme="minorHAnsi"/>
        </w:rPr>
        <w:t>Høystandard sykkelveg (avsnitt 3.4.2 i V122)</w:t>
      </w:r>
      <w:bookmarkEnd w:id="41"/>
    </w:p>
    <w:tbl>
      <w:tblPr>
        <w:tblW w:w="9072" w:type="dxa"/>
        <w:tblCellMar>
          <w:left w:w="70" w:type="dxa"/>
          <w:right w:w="70" w:type="dxa"/>
        </w:tblCellMar>
        <w:tblLook w:val="04A0" w:firstRow="1" w:lastRow="0" w:firstColumn="1" w:lastColumn="0" w:noHBand="0" w:noVBand="1"/>
      </w:tblPr>
      <w:tblGrid>
        <w:gridCol w:w="9072"/>
      </w:tblGrid>
      <w:tr w:rsidR="00E73DDD" w:rsidRPr="00886744" w14:paraId="415A8992"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574151B" w14:textId="1BB0343E" w:rsidR="00E73DDD" w:rsidRPr="009C696B" w:rsidRDefault="009C696B" w:rsidP="00D557D9">
            <w:r w:rsidRPr="00CF1CAB">
              <w:t xml:space="preserve">En høystandard sykkelveg (sykkelekspressveg) er </w:t>
            </w:r>
            <w:r w:rsidR="00D557D9">
              <w:t xml:space="preserve">i </w:t>
            </w:r>
            <w:proofErr w:type="spellStart"/>
            <w:r w:rsidR="00D557D9">
              <w:t>hht</w:t>
            </w:r>
            <w:proofErr w:type="spellEnd"/>
            <w:r w:rsidR="00D557D9">
              <w:t>. V122 «</w:t>
            </w:r>
            <w:r w:rsidR="00D557D9" w:rsidRPr="00D557D9">
              <w:t>tilrettelagt for rask (</w:t>
            </w:r>
            <w:r w:rsidR="00D30077" w:rsidRPr="00D557D9">
              <w:t>opptil</w:t>
            </w:r>
            <w:r w:rsidR="00D557D9" w:rsidRPr="00D557D9">
              <w:t xml:space="preserve"> 40 km/t) og direkte sykling over lengre avstander (5-20 km) mellom relevante </w:t>
            </w:r>
            <w:proofErr w:type="spellStart"/>
            <w:r w:rsidR="00D557D9" w:rsidRPr="00D557D9">
              <w:t>målpunkter</w:t>
            </w:r>
            <w:proofErr w:type="spellEnd"/>
            <w:r w:rsidR="00D557D9" w:rsidRPr="00D557D9">
              <w:t xml:space="preserve"> (boligområder, konsentrasjoner av arbeidsplasser, utdanningsinstitusjoner og kollektivknutepunkter)</w:t>
            </w:r>
            <w:r w:rsidR="00D557D9">
              <w:t>»</w:t>
            </w:r>
            <w:r w:rsidRPr="00CF1CAB">
              <w:t>. Kravene til sykkelekspressveger omfatter bl.a.</w:t>
            </w:r>
            <w:r w:rsidR="00D557D9">
              <w:t>:</w:t>
            </w:r>
            <w:r w:rsidRPr="00CF1CAB">
              <w:t xml:space="preserve"> </w:t>
            </w:r>
            <w:r w:rsidR="00D557D9">
              <w:t xml:space="preserve">Sammenhengende sykkelveg uten hindringer som reduserer fremkommeligheten; minst mulig skarpe svinger og lange eller bratte bakker; godt, fast og jevnt belegg; færrest mulig kryss med motorisert trafikk, ev. kryss er planskilt eller utformet slik at trafikk får vikeplikt for syklistene; oppmerket midtlinje og minst ett felt i hver retning; høy drifts- og vedlikeholdsstandard sommer og vinter. Vanligvis ligger sykkelekspresseveger i egen trasé, og det er en egen løsning for de gående. </w:t>
            </w:r>
          </w:p>
        </w:tc>
      </w:tr>
    </w:tbl>
    <w:p w14:paraId="75A7FBC4" w14:textId="506AFD75" w:rsidR="00BE30CB" w:rsidRDefault="00F01374" w:rsidP="00F01374">
      <w:r>
        <w:t xml:space="preserve">Høystandard sykkelveg </w:t>
      </w:r>
      <w:r w:rsidR="00BE30CB" w:rsidRPr="00CF1CAB">
        <w:t>har flere kjennetegn som gjør at man kan forvente at syklistenes sikkerhet forbedres, bl.a. få kryss og konfliktpunkter og høye krav til siktforhold, belegg og drift</w:t>
      </w:r>
      <w:r w:rsidR="00252717">
        <w:t xml:space="preserve"> (</w:t>
      </w:r>
      <w:bookmarkStart w:id="42" w:name="_Hlk198216127"/>
      <w:r w:rsidR="00252717">
        <w:t>Sørensen, 2012)</w:t>
      </w:r>
      <w:r w:rsidR="00BE30CB" w:rsidRPr="00CF1CAB">
        <w:t>. Virkningen på ulykker vil i stor grad avhenge av den konkrete utformingen, især i kryss.</w:t>
      </w:r>
    </w:p>
    <w:p w14:paraId="52D17C88" w14:textId="3260B2D8" w:rsidR="00E77F17" w:rsidRPr="00E77F17" w:rsidRDefault="00E77F17" w:rsidP="00E77F17">
      <w:r w:rsidRPr="00B22E3F">
        <w:t xml:space="preserve">Li et al. </w:t>
      </w:r>
      <w:r w:rsidRPr="00E77F17">
        <w:t xml:space="preserve">(2017) </w:t>
      </w:r>
      <w:bookmarkEnd w:id="42"/>
      <w:r w:rsidRPr="00E77F17">
        <w:t xml:space="preserve">har undersøkt virkningen </w:t>
      </w:r>
      <w:r>
        <w:t xml:space="preserve">av et sammenhengende nettverk av sykkelekspressveg i London. </w:t>
      </w:r>
      <w:r w:rsidR="00274936">
        <w:t>Resultatene tyder på at risikoen for syklister ikke har endret seg vesentlig. Antall sykkelulykker økte, men dette kan i hovedsak forklares med at det ble flere som syklet på strekningen</w:t>
      </w:r>
      <w:r>
        <w:t xml:space="preserve">. </w:t>
      </w:r>
    </w:p>
    <w:p w14:paraId="48728AE2" w14:textId="757606B2" w:rsidR="00BE30CB" w:rsidRDefault="00BE30CB" w:rsidP="006F1161">
      <w:pPr>
        <w:pStyle w:val="Overskrift2"/>
        <w:rPr>
          <w:rFonts w:eastAsiaTheme="minorHAnsi"/>
        </w:rPr>
      </w:pPr>
      <w:bookmarkStart w:id="43" w:name="_Toc206753745"/>
      <w:r>
        <w:rPr>
          <w:rFonts w:eastAsiaTheme="minorHAnsi"/>
        </w:rPr>
        <w:t>Gangveg (avsnitt 3.4.3 i V122)</w:t>
      </w:r>
      <w:bookmarkEnd w:id="43"/>
    </w:p>
    <w:tbl>
      <w:tblPr>
        <w:tblW w:w="9072" w:type="dxa"/>
        <w:tblCellMar>
          <w:left w:w="70" w:type="dxa"/>
          <w:right w:w="70" w:type="dxa"/>
        </w:tblCellMar>
        <w:tblLook w:val="04A0" w:firstRow="1" w:lastRow="0" w:firstColumn="1" w:lastColumn="0" w:noHBand="0" w:noVBand="1"/>
      </w:tblPr>
      <w:tblGrid>
        <w:gridCol w:w="9072"/>
      </w:tblGrid>
      <w:tr w:rsidR="00E73DDD" w:rsidRPr="00886744" w14:paraId="21A9D5B0"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1995C4C1" w14:textId="61AB6597" w:rsidR="00E73DDD" w:rsidRPr="00886744" w:rsidRDefault="00D557D9" w:rsidP="002A7978">
            <w:r>
              <w:t xml:space="preserve">Gangveger er i </w:t>
            </w:r>
            <w:proofErr w:type="spellStart"/>
            <w:r>
              <w:t>hht</w:t>
            </w:r>
            <w:proofErr w:type="spellEnd"/>
            <w:r>
              <w:t>. V122 utformet omtrent som gang- og sykkelveger, men ved offentlig trafikkskilt bestemt for gående. De anbefales ikke å inngå som en del av en hovedrute for sykkel.</w:t>
            </w:r>
          </w:p>
        </w:tc>
      </w:tr>
    </w:tbl>
    <w:p w14:paraId="6D46E387" w14:textId="25ECF9BB" w:rsidR="00BE30CB" w:rsidRDefault="00BE30CB" w:rsidP="00BE30CB"/>
    <w:p w14:paraId="5393B3AB" w14:textId="77777777" w:rsidR="00BE30CB" w:rsidRDefault="00BE30CB" w:rsidP="006F1161">
      <w:pPr>
        <w:pStyle w:val="Overskrift2"/>
        <w:rPr>
          <w:rFonts w:eastAsiaTheme="minorHAnsi"/>
        </w:rPr>
      </w:pPr>
      <w:bookmarkStart w:id="44" w:name="_Toc206753746"/>
      <w:r>
        <w:rPr>
          <w:rFonts w:eastAsiaTheme="minorHAnsi"/>
        </w:rPr>
        <w:t>Andre strekningsløsninger (avsnitt 3.5 i V122)</w:t>
      </w:r>
      <w:bookmarkEnd w:id="44"/>
    </w:p>
    <w:p w14:paraId="64608A40" w14:textId="77777777" w:rsidR="00BE30CB" w:rsidRPr="00A756A9" w:rsidRDefault="00BE30CB" w:rsidP="00956076">
      <w:pPr>
        <w:pStyle w:val="Overskrift3"/>
      </w:pPr>
      <w:r w:rsidRPr="00A756A9">
        <w:t>Fortau (avsnitt 3.5.1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6E8FD14D"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4926BF90" w14:textId="6F6A86C5" w:rsidR="00956076" w:rsidRPr="00886744" w:rsidRDefault="00A63ED0" w:rsidP="002A7978">
            <w:r>
              <w:t xml:space="preserve">Fortau er i utgangspunktet ikke en sykkelløsning i </w:t>
            </w:r>
            <w:proofErr w:type="spellStart"/>
            <w:r>
              <w:t>hht</w:t>
            </w:r>
            <w:proofErr w:type="spellEnd"/>
            <w:r>
              <w:t xml:space="preserve">. V122, og det anbefales ikke som del av lenger i hovedvegnett for sykkel. Fortau kan likevel under visse forutsetninger benyttes av syklister. </w:t>
            </w:r>
          </w:p>
        </w:tc>
      </w:tr>
    </w:tbl>
    <w:p w14:paraId="49714C15" w14:textId="4E6398B4" w:rsidR="00956076" w:rsidRPr="003C43A7" w:rsidRDefault="00956076" w:rsidP="00041DC1">
      <w:r w:rsidRPr="003C43A7">
        <w:lastRenderedPageBreak/>
        <w:t xml:space="preserve">Disse studiene har sammenlignet risikoen ved sykling på </w:t>
      </w:r>
      <w:r w:rsidRPr="00956076">
        <w:rPr>
          <w:b/>
          <w:bCs/>
        </w:rPr>
        <w:t>fortau</w:t>
      </w:r>
      <w:r w:rsidRPr="003C43A7">
        <w:t xml:space="preserve"> og sykling i blandet trafikk:</w:t>
      </w:r>
    </w:p>
    <w:p w14:paraId="0EED4E72" w14:textId="26604637" w:rsidR="00041DC1" w:rsidRPr="0087687D" w:rsidRDefault="0087687D" w:rsidP="00041DC1">
      <w:pPr>
        <w:ind w:left="426"/>
        <w:rPr>
          <w:lang w:val="da-DK"/>
        </w:rPr>
      </w:pPr>
      <w:bookmarkStart w:id="45" w:name="_Hlk198216140"/>
      <w:r w:rsidRPr="0087687D">
        <w:rPr>
          <w:lang w:val="da-DK"/>
        </w:rPr>
        <w:t>Senturia et al.,</w:t>
      </w:r>
      <w:r>
        <w:rPr>
          <w:lang w:val="da-DK"/>
        </w:rPr>
        <w:t xml:space="preserve"> 1997 (USA)</w:t>
      </w:r>
      <w:r>
        <w:rPr>
          <w:lang w:val="da-DK"/>
        </w:rPr>
        <w:br/>
      </w:r>
      <w:r w:rsidR="00041DC1" w:rsidRPr="0087687D">
        <w:rPr>
          <w:lang w:val="da-DK"/>
        </w:rPr>
        <w:t>Wachtel &amp; Lewiston, 1996 (USA</w:t>
      </w:r>
      <w:r w:rsidR="00E11BA3">
        <w:rPr>
          <w:lang w:val="da-DK"/>
        </w:rPr>
        <w:t xml:space="preserve">; </w:t>
      </w:r>
      <w:r w:rsidR="00E11BA3" w:rsidRPr="0087687D">
        <w:rPr>
          <w:lang w:val="da-DK"/>
        </w:rPr>
        <w:t>reanalys</w:t>
      </w:r>
      <w:r w:rsidR="00E11BA3">
        <w:rPr>
          <w:lang w:val="da-DK"/>
        </w:rPr>
        <w:t>ert at</w:t>
      </w:r>
      <w:r w:rsidR="00E11BA3" w:rsidRPr="0087687D">
        <w:rPr>
          <w:lang w:val="da-DK"/>
        </w:rPr>
        <w:t xml:space="preserve"> Lusk et al., 2011</w:t>
      </w:r>
      <w:r w:rsidR="00041DC1" w:rsidRPr="0087687D">
        <w:rPr>
          <w:lang w:val="da-DK"/>
        </w:rPr>
        <w:t>)</w:t>
      </w:r>
      <w:r w:rsidR="00041DC1" w:rsidRPr="0087687D">
        <w:rPr>
          <w:lang w:val="da-DK"/>
        </w:rPr>
        <w:br/>
        <w:t>Teschke et al., 2012 (Canada)</w:t>
      </w:r>
      <w:r w:rsidR="004673AA">
        <w:rPr>
          <w:lang w:val="da-DK"/>
        </w:rPr>
        <w:br/>
      </w:r>
      <w:r w:rsidR="004673AA" w:rsidRPr="004673AA">
        <w:rPr>
          <w:lang w:val="da-DK"/>
        </w:rPr>
        <w:t>de Rome et al., 2014 (Australia)</w:t>
      </w:r>
      <w:r w:rsidR="00041DC1" w:rsidRPr="0087687D">
        <w:rPr>
          <w:lang w:val="da-DK"/>
        </w:rPr>
        <w:br/>
        <w:t>Cripton et al., 2015 (Canada)</w:t>
      </w:r>
      <w:r w:rsidR="00041DC1" w:rsidRPr="0087687D">
        <w:rPr>
          <w:lang w:val="da-DK"/>
        </w:rPr>
        <w:br/>
        <w:t>Cicchino et al., 2020 (USA)</w:t>
      </w:r>
      <w:bookmarkEnd w:id="45"/>
    </w:p>
    <w:p w14:paraId="530D26A0" w14:textId="5F6E0AA6" w:rsidR="0098767C" w:rsidRDefault="00956076" w:rsidP="0087687D">
      <w:r w:rsidRPr="003C43A7">
        <w:t xml:space="preserve">Studiene viser at risikoen for sykkelulykker </w:t>
      </w:r>
      <w:r w:rsidR="0087687D">
        <w:t xml:space="preserve">sammenlagt er </w:t>
      </w:r>
      <w:r w:rsidR="00A756A9">
        <w:t>3</w:t>
      </w:r>
      <w:r w:rsidR="00D90E86">
        <w:t>7 prosent høyere (-</w:t>
      </w:r>
      <w:r w:rsidR="00A756A9">
        <w:t>17</w:t>
      </w:r>
      <w:r w:rsidR="00D90E86">
        <w:t>; +</w:t>
      </w:r>
      <w:r w:rsidR="00A756A9">
        <w:t>125</w:t>
      </w:r>
      <w:r w:rsidR="00D90E86">
        <w:t xml:space="preserve">) </w:t>
      </w:r>
      <w:r w:rsidR="0087687D">
        <w:t xml:space="preserve">på fortau enn </w:t>
      </w:r>
      <w:r w:rsidRPr="003C43A7">
        <w:t xml:space="preserve">i blandet trafikk. </w:t>
      </w:r>
      <w:r w:rsidR="00D90E86">
        <w:t xml:space="preserve">Dette gjelder når man ser på strekninger og kryss samlet. </w:t>
      </w:r>
      <w:r w:rsidR="00C16B09">
        <w:t xml:space="preserve">Resultatene spriker mye mellom studiene, men det er ingen systematiske forskjeller mellom strekninger og kryss. </w:t>
      </w:r>
    </w:p>
    <w:p w14:paraId="34EDE94D" w14:textId="2496A13A" w:rsidR="00C16B09" w:rsidRDefault="00C16B09" w:rsidP="0087687D">
      <w:r>
        <w:t xml:space="preserve">Risikoen for å bli drept eller hardt skadd, er derimot 43 lavere (-75; +33) på fortau enn i blandet trafikk. Også dette resultatet er </w:t>
      </w:r>
      <w:proofErr w:type="gramStart"/>
      <w:r>
        <w:t>usikker</w:t>
      </w:r>
      <w:proofErr w:type="gramEnd"/>
      <w:r>
        <w:t>, og det er basert på kun én studie (</w:t>
      </w:r>
      <w:r w:rsidRPr="00C16B09">
        <w:t>de Rome et al.</w:t>
      </w:r>
      <w:r>
        <w:t xml:space="preserve">, 2015). </w:t>
      </w:r>
    </w:p>
    <w:p w14:paraId="7FBBF08B" w14:textId="67EF228B" w:rsidR="00E11BA3" w:rsidRDefault="00E11BA3" w:rsidP="0087687D">
      <w:r w:rsidRPr="00041DC1">
        <w:t xml:space="preserve">Flere studier viser at syklister som </w:t>
      </w:r>
      <w:r>
        <w:t xml:space="preserve">alltid eller </w:t>
      </w:r>
      <w:r w:rsidRPr="00041DC1">
        <w:t>ofte sykler på fortau, har høyere ulykkesrisiko enn andre syklister, også når de ikke sykler på fortau (</w:t>
      </w:r>
      <w:bookmarkStart w:id="46" w:name="_Hlk198216148"/>
      <w:proofErr w:type="spellStart"/>
      <w:r w:rsidRPr="00041DC1">
        <w:t>Aultman</w:t>
      </w:r>
      <w:proofErr w:type="spellEnd"/>
      <w:r w:rsidRPr="00041DC1">
        <w:t>-Hall &amp; Adams, 1998</w:t>
      </w:r>
      <w:r w:rsidR="0080769E">
        <w:t>; Reynolds et al., 2009</w:t>
      </w:r>
      <w:r w:rsidRPr="00041DC1">
        <w:t xml:space="preserve">). </w:t>
      </w:r>
      <w:r>
        <w:t>Risikoøkningen som ble funnet i kryss, kan</w:t>
      </w:r>
      <w:bookmarkEnd w:id="46"/>
      <w:r>
        <w:t xml:space="preserve"> likevel ikke (utelukkende) forklares med forskjeller mellom syklister som sykler på fortau vs. i blandet trafikk da </w:t>
      </w:r>
      <w:proofErr w:type="gramStart"/>
      <w:r>
        <w:t>de fleste studien</w:t>
      </w:r>
      <w:proofErr w:type="gramEnd"/>
      <w:r>
        <w:t xml:space="preserve"> har kontrollert for en rekke syklistegenskaper. </w:t>
      </w:r>
    </w:p>
    <w:p w14:paraId="5351D6D5" w14:textId="088209BB" w:rsidR="00956076" w:rsidRPr="003C43A7" w:rsidRDefault="00E11BA3" w:rsidP="0087687D">
      <w:r>
        <w:t xml:space="preserve">Resultatene tyder med andre ord på at </w:t>
      </w:r>
      <w:r w:rsidRPr="00E11BA3">
        <w:rPr>
          <w:b/>
          <w:bCs/>
        </w:rPr>
        <w:t>sykling på fortau istedenfor i blandet trafikk medfører økt risiko i kryss</w:t>
      </w:r>
      <w:r>
        <w:t xml:space="preserve">. </w:t>
      </w:r>
    </w:p>
    <w:p w14:paraId="66A49F00" w14:textId="4709A214" w:rsidR="00BE30CB" w:rsidRPr="00956076" w:rsidRDefault="00BE30CB" w:rsidP="00956076">
      <w:pPr>
        <w:pStyle w:val="Overskrift3"/>
      </w:pPr>
      <w:r w:rsidRPr="00956076">
        <w:t>Gågate (avsnitt 3.5.2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61C77925"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766D7FA9" w14:textId="3C0AB539" w:rsidR="00956076" w:rsidRPr="00886744" w:rsidRDefault="00A63ED0" w:rsidP="002A7978">
            <w:r>
              <w:t xml:space="preserve">En gågate er en gate uten fortau som er skiltet som gågate. Det er i utgangspunktet ikke en sykkelløsning i </w:t>
            </w:r>
            <w:proofErr w:type="spellStart"/>
            <w:r>
              <w:t>hht</w:t>
            </w:r>
            <w:proofErr w:type="spellEnd"/>
            <w:r>
              <w:t>. V122, og det anbefales ikke som del av lenger i hovedvegnett for sykkel. Gågater kan likevel under visse forutsetninger benyttes av syklister.</w:t>
            </w:r>
          </w:p>
        </w:tc>
      </w:tr>
    </w:tbl>
    <w:p w14:paraId="2E866F6D" w14:textId="4BB67824" w:rsidR="00956076" w:rsidRPr="00956076" w:rsidRDefault="00A72BCC" w:rsidP="00956076">
      <w:r>
        <w:t xml:space="preserve">Det er ikke funnet studier som har undersøkt hvordan gågater påvirker ulykkesrisikoen for syklister, eller hvordan sykling i </w:t>
      </w:r>
      <w:proofErr w:type="spellStart"/>
      <w:r>
        <w:t>gåtater</w:t>
      </w:r>
      <w:proofErr w:type="spellEnd"/>
      <w:r>
        <w:t xml:space="preserve"> påvirker ulykker i gågater. I de fleste andre land enn Norge er sykling i gågater ikke tillatt (</w:t>
      </w:r>
      <w:bookmarkStart w:id="47" w:name="_Hlk198216162"/>
      <w:r>
        <w:t>Bjørnskau et al., 2017</w:t>
      </w:r>
      <w:bookmarkEnd w:id="47"/>
      <w:r>
        <w:t xml:space="preserve">). </w:t>
      </w:r>
    </w:p>
    <w:p w14:paraId="1C88C98D" w14:textId="77777777" w:rsidR="00BE30CB" w:rsidRPr="00A756A9" w:rsidRDefault="00BE30CB" w:rsidP="00956076">
      <w:pPr>
        <w:pStyle w:val="Overskrift3"/>
      </w:pPr>
      <w:r w:rsidRPr="00A756A9">
        <w:t>Sykkelgate (avsnitt 3.5.3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112C9B6F"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5E3E255F" w14:textId="1FD43111" w:rsidR="00956076" w:rsidRPr="00886744" w:rsidRDefault="00A63ED0" w:rsidP="002A7978">
            <w:r>
              <w:t xml:space="preserve">En sykkelgate er i </w:t>
            </w:r>
            <w:proofErr w:type="spellStart"/>
            <w:r>
              <w:t>hht</w:t>
            </w:r>
            <w:proofErr w:type="spellEnd"/>
            <w:r>
              <w:t>. V122 en «</w:t>
            </w:r>
            <w:r w:rsidRPr="00A63ED0">
              <w:t>gate med fortau for gående, og kjørebanen er i utgangspunktet reservert for sykkeltrafikk</w:t>
            </w:r>
            <w:r>
              <w:t xml:space="preserve">». Sykkelgate kan skiltes med innkjøring forbudt (med unntak for sykkel). </w:t>
            </w:r>
            <w:r w:rsidRPr="00A63ED0">
              <w:t>Sykkelgater kan brukes som del av hovednettet for syklende.</w:t>
            </w:r>
          </w:p>
        </w:tc>
      </w:tr>
    </w:tbl>
    <w:p w14:paraId="012B48AF" w14:textId="77777777" w:rsidR="009D1190" w:rsidRDefault="009D1190" w:rsidP="00A63ED0">
      <w:r>
        <w:t>S</w:t>
      </w:r>
      <w:r w:rsidR="00BE30CB" w:rsidRPr="00CF1CAB">
        <w:t xml:space="preserve">ykkelgater </w:t>
      </w:r>
      <w:r>
        <w:t xml:space="preserve">kan i teorien </w:t>
      </w:r>
      <w:r w:rsidR="00A63ED0">
        <w:t>for</w:t>
      </w:r>
      <w:r w:rsidR="00BE30CB" w:rsidRPr="00CF1CAB">
        <w:t xml:space="preserve">bedre sikkerheten </w:t>
      </w:r>
      <w:r>
        <w:t xml:space="preserve">for syklister </w:t>
      </w:r>
      <w:r w:rsidR="00BE30CB" w:rsidRPr="00CF1CAB">
        <w:t xml:space="preserve">på strekninger på grunn av separeringen fra både motorkjøretøy og fotgjengere (på strekninger), samt at sykkelgater som regel er forholdsvis brede. </w:t>
      </w:r>
    </w:p>
    <w:p w14:paraId="72CBFCDD" w14:textId="77777777" w:rsidR="00D30077" w:rsidRDefault="00D30077" w:rsidP="00D30077">
      <w:r w:rsidRPr="00CF1CAB">
        <w:t xml:space="preserve">En studie av en sykkelgate Oslo viste </w:t>
      </w:r>
      <w:r>
        <w:t xml:space="preserve">derimot </w:t>
      </w:r>
      <w:r w:rsidRPr="00CF1CAB">
        <w:t>at det er et veldig høyt konfliktnivå mellom fotgjengere og syklister</w:t>
      </w:r>
      <w:r>
        <w:t xml:space="preserve"> i en sykkelgate (sykkelgatedelen av Torggata)</w:t>
      </w:r>
      <w:r w:rsidRPr="00CF1CAB">
        <w:t>, noe som kan forklares med at fotgjengerne oppfatter gaten som gågate, mens syklistene oppfatter den som sykkelgate (Bjørnskau et al., 2017).</w:t>
      </w:r>
    </w:p>
    <w:p w14:paraId="363D7B6A" w14:textId="0C37E963" w:rsidR="009F1845" w:rsidRDefault="00B30437" w:rsidP="00A63ED0">
      <w:r>
        <w:t xml:space="preserve">Det er ikke funnet studier fra andre land som har undersøkt hvordan sykkelgater (etter den norske definisjonen) påvirker antall ulykker. </w:t>
      </w:r>
    </w:p>
    <w:p w14:paraId="58246925" w14:textId="77777777" w:rsidR="00BE30CB" w:rsidRPr="00956076" w:rsidRDefault="00BE30CB" w:rsidP="00956076">
      <w:pPr>
        <w:pStyle w:val="Overskrift3"/>
      </w:pPr>
      <w:r w:rsidRPr="00956076">
        <w:lastRenderedPageBreak/>
        <w:t>Spesielle gatemiljø (avsnitt 3.5.4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08C85BF1"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0DC26C7" w14:textId="50349E44" w:rsidR="00956076" w:rsidRPr="00886744" w:rsidRDefault="00A63ED0" w:rsidP="002A7978">
            <w:r>
              <w:t xml:space="preserve">I spesielle gatemiljø som f.eks. områder med gammel bebyggelse, torg, parker og plasser, kan sykkelløsninger i </w:t>
            </w:r>
            <w:proofErr w:type="spellStart"/>
            <w:r>
              <w:t>hht</w:t>
            </w:r>
            <w:proofErr w:type="spellEnd"/>
            <w:r>
              <w:t xml:space="preserve">. V122 tilpasses til </w:t>
            </w:r>
            <w:proofErr w:type="spellStart"/>
            <w:r>
              <w:t>stedens</w:t>
            </w:r>
            <w:proofErr w:type="spellEnd"/>
            <w:r>
              <w:t xml:space="preserve"> egenarter. </w:t>
            </w:r>
          </w:p>
        </w:tc>
      </w:tr>
    </w:tbl>
    <w:p w14:paraId="07E2936D" w14:textId="77777777" w:rsidR="00BE30CB" w:rsidRPr="00A756A9" w:rsidRDefault="00BE30CB" w:rsidP="00956076">
      <w:pPr>
        <w:pStyle w:val="Overskrift3"/>
      </w:pPr>
      <w:r w:rsidRPr="00A756A9">
        <w:t>Gater med sporvogn (avsnitt 3.5.5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0B30A8D4"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265EC8D" w14:textId="5E5DAD9C" w:rsidR="00956076" w:rsidRPr="00886744" w:rsidRDefault="00A63ED0" w:rsidP="002A7978">
            <w:r>
              <w:t xml:space="preserve">Siden trikkeskinner er farlige for syklister, anbefaler V122 </w:t>
            </w:r>
            <w:r w:rsidR="006A1938">
              <w:t xml:space="preserve">å ikke legge hovednett for sykkel i samme kjørefelt som trikk. </w:t>
            </w:r>
          </w:p>
        </w:tc>
      </w:tr>
    </w:tbl>
    <w:p w14:paraId="0A9941DA" w14:textId="180626AE" w:rsidR="00252717" w:rsidRDefault="00252717" w:rsidP="00BE30CB">
      <w:r>
        <w:t xml:space="preserve">De følgende studiene har sammenlignet </w:t>
      </w:r>
      <w:proofErr w:type="spellStart"/>
      <w:r>
        <w:t>ulykkesrisko</w:t>
      </w:r>
      <w:proofErr w:type="spellEnd"/>
      <w:r>
        <w:t xml:space="preserve"> for syklister på veger med og uten trikkeskinner</w:t>
      </w:r>
      <w:r w:rsidR="00F5234B">
        <w:t>:</w:t>
      </w:r>
    </w:p>
    <w:p w14:paraId="08EC696A" w14:textId="734F014C" w:rsidR="00F5234B" w:rsidRDefault="00252717" w:rsidP="00252717">
      <w:pPr>
        <w:ind w:left="567"/>
        <w:contextualSpacing/>
        <w:rPr>
          <w:lang w:val="da-DK"/>
        </w:rPr>
      </w:pPr>
      <w:bookmarkStart w:id="48" w:name="_Hlk198216427"/>
      <w:r w:rsidRPr="00785425">
        <w:rPr>
          <w:lang w:val="da-DK"/>
        </w:rPr>
        <w:t>Harris et al., 2011 (Canada)</w:t>
      </w:r>
      <w:r w:rsidR="00296344">
        <w:rPr>
          <w:lang w:val="da-DK"/>
        </w:rPr>
        <w:br/>
      </w:r>
      <w:r w:rsidRPr="00785425">
        <w:rPr>
          <w:lang w:val="da-DK"/>
        </w:rPr>
        <w:t>Teschke et al., 2012 (Canada)</w:t>
      </w:r>
      <w:r w:rsidR="00296344">
        <w:rPr>
          <w:lang w:val="da-DK"/>
        </w:rPr>
        <w:br/>
      </w:r>
      <w:r w:rsidRPr="00252717">
        <w:rPr>
          <w:lang w:val="da-DK"/>
        </w:rPr>
        <w:t>Cicchino et al., 2020 (USA)</w:t>
      </w:r>
      <w:r w:rsidR="00296344">
        <w:rPr>
          <w:lang w:val="da-DK"/>
        </w:rPr>
        <w:br/>
      </w:r>
      <w:r w:rsidRPr="00252717">
        <w:rPr>
          <w:lang w:val="da-DK"/>
        </w:rPr>
        <w:t>Schröter et al., 2023 (Tyskland)</w:t>
      </w:r>
    </w:p>
    <w:bookmarkEnd w:id="48"/>
    <w:p w14:paraId="16C68380" w14:textId="51F048FD" w:rsidR="00252717" w:rsidRPr="009B038F" w:rsidRDefault="009B038F" w:rsidP="00252717">
      <w:r w:rsidRPr="009B038F">
        <w:t>Sammenlagt viser resultatene at trikkeski</w:t>
      </w:r>
      <w:r>
        <w:t xml:space="preserve">nner øker ulykkesrisikoen for syklister med </w:t>
      </w:r>
      <w:r w:rsidRPr="009B038F">
        <w:t>269</w:t>
      </w:r>
      <w:r>
        <w:t xml:space="preserve"> prosent </w:t>
      </w:r>
      <w:r w:rsidRPr="009B038F">
        <w:t>(</w:t>
      </w:r>
      <w:r>
        <w:t>+</w:t>
      </w:r>
      <w:r w:rsidRPr="009B038F">
        <w:t xml:space="preserve">162; </w:t>
      </w:r>
      <w:r>
        <w:t>+</w:t>
      </w:r>
      <w:r w:rsidRPr="009B038F">
        <w:t>420)</w:t>
      </w:r>
      <w:r>
        <w:t xml:space="preserve">, dvs. at risikoen er mer enn </w:t>
      </w:r>
      <w:proofErr w:type="spellStart"/>
      <w:r>
        <w:t>tredobblet</w:t>
      </w:r>
      <w:proofErr w:type="spellEnd"/>
      <w:r>
        <w:t xml:space="preserve">. Dette gjelder veger med blandet trafikk; veger med sykkelveg eller felt inngår ikke i sammenligningen. </w:t>
      </w:r>
    </w:p>
    <w:p w14:paraId="6810BE10" w14:textId="77777777" w:rsidR="00BE30CB" w:rsidRPr="00956076" w:rsidRDefault="00BE30CB" w:rsidP="00956076">
      <w:pPr>
        <w:pStyle w:val="Overskrift3"/>
      </w:pPr>
      <w:r w:rsidRPr="00956076">
        <w:t>Envegsregulerte gater (avsnitt 3.5.6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5B615AA6"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63AC40C5" w14:textId="77777777" w:rsidR="00956076" w:rsidRDefault="00956076" w:rsidP="002A7978">
            <w:r w:rsidRPr="00956076">
              <w:t>Sykling mot kjøreretningen i enveisregulerte gater kan etableres når fartsgrensen er 40 km/t eller lavere og når trafikkmengden (ÅDT) er under 1500 (N100:2023). Utformingen er nærmere beskrevet i N100.</w:t>
            </w:r>
            <w:r w:rsidR="006A1938">
              <w:t xml:space="preserve"> Bl.a. oppheves </w:t>
            </w:r>
            <w:r w:rsidR="006A1938" w:rsidRPr="006A1938">
              <w:t>forbudet mot gjennomkjøring for syklister med skilt. I tillegg kan det være oppmerket sykkelfelt, enten kun mot kjøreretningen eller i begge kjøreretninger.</w:t>
            </w:r>
          </w:p>
          <w:p w14:paraId="4CB1C863" w14:textId="67FE101D" w:rsidR="006A1938" w:rsidRPr="00886744" w:rsidRDefault="006A1938" w:rsidP="006A1938">
            <w:r>
              <w:t xml:space="preserve">Tiltaket skal </w:t>
            </w:r>
            <w:r w:rsidRPr="003C43A7">
              <w:t>forbedre framkommeligheten for syklister og redusere fortausykling.</w:t>
            </w:r>
          </w:p>
        </w:tc>
      </w:tr>
    </w:tbl>
    <w:p w14:paraId="0B90CE80" w14:textId="756B1323" w:rsidR="00BE30CB" w:rsidRPr="00CF1CAB" w:rsidRDefault="006A1938" w:rsidP="006A1938">
      <w:r>
        <w:t>I en belgisk studie ble a</w:t>
      </w:r>
      <w:r w:rsidR="00BE30CB" w:rsidRPr="00CF1CAB">
        <w:t xml:space="preserve">ntall sykkelulykker omtrent halvert </w:t>
      </w:r>
      <w:r w:rsidRPr="00CF1CAB">
        <w:t>(statistisk signifikant)</w:t>
      </w:r>
      <w:r>
        <w:t xml:space="preserve"> </w:t>
      </w:r>
      <w:r w:rsidR="00BE30CB" w:rsidRPr="00CF1CAB">
        <w:t xml:space="preserve">i gater med sykling mot </w:t>
      </w:r>
      <w:proofErr w:type="gramStart"/>
      <w:r w:rsidR="00BE30CB" w:rsidRPr="00CF1CAB">
        <w:t>enveiskjøringen  (</w:t>
      </w:r>
      <w:bookmarkStart w:id="49" w:name="_Hlk198216438"/>
      <w:proofErr w:type="spellStart"/>
      <w:proofErr w:type="gramEnd"/>
      <w:r w:rsidR="00BE30CB" w:rsidRPr="00CF1CAB">
        <w:t>Vandenbulcke</w:t>
      </w:r>
      <w:proofErr w:type="spellEnd"/>
      <w:r w:rsidR="00BE30CB" w:rsidRPr="00CF1CAB">
        <w:t xml:space="preserve"> et al., 2014). Også andre studier </w:t>
      </w:r>
      <w:r>
        <w:t xml:space="preserve">viser </w:t>
      </w:r>
      <w:r w:rsidR="00BE30CB" w:rsidRPr="00CF1CAB">
        <w:t>at antall sykkelulykker går ned, men uten at dette kan tallfestes (</w:t>
      </w:r>
      <w:proofErr w:type="spellStart"/>
      <w:r w:rsidR="00BE30CB" w:rsidRPr="00CF1CAB">
        <w:t>Alrutz</w:t>
      </w:r>
      <w:proofErr w:type="spellEnd"/>
      <w:r w:rsidR="00BE30CB" w:rsidRPr="00CF1CAB">
        <w:t xml:space="preserve"> et al., 2002, Tyskland; </w:t>
      </w:r>
      <w:proofErr w:type="spellStart"/>
      <w:r w:rsidR="00BE30CB" w:rsidRPr="00CF1CAB">
        <w:t>Dupriez</w:t>
      </w:r>
      <w:proofErr w:type="spellEnd"/>
      <w:r w:rsidR="00BE30CB" w:rsidRPr="00CF1CAB">
        <w:t>, 2009, Belgia). Andelen syklister som sykler på fortauet</w:t>
      </w:r>
      <w:r>
        <w:t>,</w:t>
      </w:r>
      <w:r w:rsidR="00BE30CB" w:rsidRPr="00CF1CAB">
        <w:t xml:space="preserve"> er mer enn halvert i en tysk studie (</w:t>
      </w:r>
      <w:proofErr w:type="spellStart"/>
      <w:r w:rsidR="00BE30CB" w:rsidRPr="00CF1CAB">
        <w:t>Alrutz</w:t>
      </w:r>
      <w:proofErr w:type="spellEnd"/>
      <w:r w:rsidR="00BE30CB" w:rsidRPr="00CF1CAB">
        <w:t xml:space="preserve"> et al., 2002).</w:t>
      </w:r>
    </w:p>
    <w:p w14:paraId="4D4EBC3F" w14:textId="2187E50E" w:rsidR="00BE30CB" w:rsidRPr="00CF1CAB" w:rsidRDefault="00BE30CB" w:rsidP="006A1938">
      <w:r w:rsidRPr="00CF1CAB">
        <w:t>Bjørnskau et al. (2012,</w:t>
      </w:r>
      <w:bookmarkEnd w:id="49"/>
      <w:r w:rsidRPr="00CF1CAB">
        <w:t xml:space="preserve"> Norge) viser at </w:t>
      </w:r>
      <w:r w:rsidR="006A1938">
        <w:t xml:space="preserve">hovedårsaken for </w:t>
      </w:r>
      <w:r w:rsidRPr="00CF1CAB">
        <w:t xml:space="preserve">konflikter i enveiskjørte gater med sykkelfelt mot kjøreretningen </w:t>
      </w:r>
      <w:r w:rsidR="006A1938">
        <w:t xml:space="preserve">er </w:t>
      </w:r>
      <w:r w:rsidRPr="00CF1CAB">
        <w:t xml:space="preserve">parkerte biler, containere </w:t>
      </w:r>
      <w:r w:rsidR="006A1938">
        <w:t xml:space="preserve">lignende som blokkerer sykkelfeltet, slik at syklistene tvinges </w:t>
      </w:r>
      <w:r w:rsidRPr="00CF1CAB">
        <w:t xml:space="preserve">ut i vegbanen. Studien viser også at sykling mot enveiskjøring </w:t>
      </w:r>
      <w:r w:rsidR="006A1938">
        <w:t xml:space="preserve">fører til mindre fortaussykling og </w:t>
      </w:r>
      <w:r w:rsidRPr="00CF1CAB">
        <w:t>færre konflikter med fotgjengere</w:t>
      </w:r>
      <w:r w:rsidR="006A1938">
        <w:t xml:space="preserve">, og at det </w:t>
      </w:r>
      <w:r w:rsidRPr="00CF1CAB">
        <w:t xml:space="preserve">ikke </w:t>
      </w:r>
      <w:r w:rsidR="006A1938">
        <w:t xml:space="preserve">fører til </w:t>
      </w:r>
      <w:r w:rsidRPr="00CF1CAB">
        <w:t>flere konflikter med motorkjøretøy.</w:t>
      </w:r>
    </w:p>
    <w:p w14:paraId="60989C1E" w14:textId="77777777" w:rsidR="00BE30CB" w:rsidRPr="00956076" w:rsidRDefault="00BE30CB" w:rsidP="00956076">
      <w:pPr>
        <w:pStyle w:val="Overskrift3"/>
      </w:pPr>
      <w:r w:rsidRPr="00956076">
        <w:t>Snarveger (avsnitt 3.5.7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11C0D7E7"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2FCACA54" w14:textId="10BBBBC5" w:rsidR="00956076" w:rsidRPr="00886744" w:rsidRDefault="006A1938" w:rsidP="002A7978">
            <w:r>
              <w:t xml:space="preserve">Snarveier for syklister er ikke del av det offentlige vegnettet og de bør i </w:t>
            </w:r>
            <w:proofErr w:type="spellStart"/>
            <w:r>
              <w:t>hht</w:t>
            </w:r>
            <w:proofErr w:type="spellEnd"/>
            <w:r>
              <w:t xml:space="preserve">. V122 ikke være del av hovedsykkelvegnettet. Det er imidlertid mulig å lave en egen kommunedelplan for å sikre snarveier. </w:t>
            </w:r>
          </w:p>
        </w:tc>
      </w:tr>
    </w:tbl>
    <w:p w14:paraId="59AA25EE" w14:textId="07880048" w:rsidR="00BE30CB" w:rsidRPr="00956076" w:rsidRDefault="00BE30CB" w:rsidP="00956076">
      <w:pPr>
        <w:pStyle w:val="Overskrift3"/>
      </w:pPr>
      <w:r w:rsidRPr="00956076">
        <w:t>Sykkel i tunnel (avsnitt 3.5.8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1EC0E94C"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6C589E61" w14:textId="52FAE8AE" w:rsidR="00956076" w:rsidRPr="00886744" w:rsidRDefault="006A1938" w:rsidP="002A7978">
            <w:proofErr w:type="spellStart"/>
            <w:r>
              <w:t>Hovedløsningen</w:t>
            </w:r>
            <w:proofErr w:type="spellEnd"/>
            <w:r>
              <w:t xml:space="preserve"> for syklister (og gående) er i </w:t>
            </w:r>
            <w:proofErr w:type="spellStart"/>
            <w:r>
              <w:t>hht</w:t>
            </w:r>
            <w:proofErr w:type="spellEnd"/>
            <w:r>
              <w:t xml:space="preserve">. V122 </w:t>
            </w:r>
            <w:proofErr w:type="spellStart"/>
            <w:r>
              <w:t>at</w:t>
            </w:r>
            <w:r w:rsidR="00EE1921">
              <w:rPr>
                <w:b/>
                <w:bCs/>
              </w:rPr>
              <w:t>samm</w:t>
            </w:r>
            <w:proofErr w:type="spellEnd"/>
            <w:r>
              <w:t xml:space="preserve"> gang- og sykkeltrafikken føres i en alternativ trase i dagen. </w:t>
            </w:r>
            <w:r w:rsidR="00D469CC">
              <w:t xml:space="preserve">Der dette ikke er mulig, kan det tilrettelegges for syklister i tunnelen. Dette er nærmere beskrevet i N100 og N500. </w:t>
            </w:r>
          </w:p>
        </w:tc>
      </w:tr>
    </w:tbl>
    <w:p w14:paraId="23E2F75C" w14:textId="3A37C182" w:rsidR="00D469CC" w:rsidRDefault="00D469CC" w:rsidP="006A1938">
      <w:r>
        <w:lastRenderedPageBreak/>
        <w:t xml:space="preserve">Skal sykkeltrafikken føres utenom tunnelen, vil virkningen på trafikksikkerheten avhenge av ulykkesrisikoen på omkjøringsvegen. Virkningen vil også avhenge av hvor mange syklister som likevel sykler gjennom tunnelen og risikoen forbundet med dette. </w:t>
      </w:r>
    </w:p>
    <w:p w14:paraId="4FAE0BD5" w14:textId="6D918345" w:rsidR="00BE30CB" w:rsidRDefault="00D469CC" w:rsidP="006A1938">
      <w:r>
        <w:t xml:space="preserve">For sykling i tunnelen er det </w:t>
      </w:r>
      <w:r w:rsidR="00BE30CB" w:rsidRPr="00CF1CAB">
        <w:t>forslått et varslingssystem som aktiveres av syklister før disse sykler inn i tunnelen og som varsler førere av motorkjøretøy om at det er syklister i tunnelen. En evaluering (</w:t>
      </w:r>
      <w:bookmarkStart w:id="50" w:name="_Hlk198216464"/>
      <w:r w:rsidR="00BE30CB" w:rsidRPr="00CF1CAB">
        <w:t>Statens vegvesen, 2017</w:t>
      </w:r>
      <w:bookmarkEnd w:id="50"/>
      <w:r w:rsidR="00BE30CB" w:rsidRPr="00CF1CAB">
        <w:t>) viser at systemet fungerer etter hensikten for både syklister og bilister og at syklistene føler seg tryggere, men faktiske effekter på atferd er ikke evaluert.</w:t>
      </w:r>
    </w:p>
    <w:p w14:paraId="3FB61087" w14:textId="1E0BEC06" w:rsidR="000D7E00" w:rsidRDefault="000D7E00" w:rsidP="006A1938">
      <w:r>
        <w:t xml:space="preserve">Et annet tiltak for syklister i tunnel er en «postkasse» med </w:t>
      </w:r>
      <w:proofErr w:type="spellStart"/>
      <w:r>
        <w:t>refleksvest</w:t>
      </w:r>
      <w:proofErr w:type="spellEnd"/>
      <w:r>
        <w:t xml:space="preserve"> og sykkellykt på begge sidene av tunnelen som syklister kan låne for å sykle gjennom tunnelen</w:t>
      </w:r>
      <w:r w:rsidR="003D0CB7">
        <w:t xml:space="preserve">. Dette kan hjelpe syklister å komme seg gjennom ubelyste tunneler, og minst et eksempel finnes ved en tunnel på Vestlandet. Virkningen på ulykkesrisikoen er ukjent. </w:t>
      </w:r>
    </w:p>
    <w:p w14:paraId="6308C51E" w14:textId="77777777" w:rsidR="00BE30CB" w:rsidRPr="00956076" w:rsidRDefault="00BE30CB" w:rsidP="00956076">
      <w:pPr>
        <w:pStyle w:val="Overskrift3"/>
      </w:pPr>
      <w:r w:rsidRPr="00956076">
        <w:t>Sykkel på bru (avsnitt 3.5.9 i V122)</w:t>
      </w:r>
    </w:p>
    <w:tbl>
      <w:tblPr>
        <w:tblW w:w="9072" w:type="dxa"/>
        <w:tblCellMar>
          <w:left w:w="70" w:type="dxa"/>
          <w:right w:w="70" w:type="dxa"/>
        </w:tblCellMar>
        <w:tblLook w:val="04A0" w:firstRow="1" w:lastRow="0" w:firstColumn="1" w:lastColumn="0" w:noHBand="0" w:noVBand="1"/>
      </w:tblPr>
      <w:tblGrid>
        <w:gridCol w:w="9072"/>
      </w:tblGrid>
      <w:tr w:rsidR="00956076" w:rsidRPr="00886744" w14:paraId="7E9594F8"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0F9EA12" w14:textId="4F56A091" w:rsidR="00956076" w:rsidRPr="00886744" w:rsidRDefault="00D469CC" w:rsidP="002A7978">
            <w:r>
              <w:t xml:space="preserve">Krav til utforming av sykkelløsninger på bruer er gitt in N100. </w:t>
            </w:r>
          </w:p>
        </w:tc>
      </w:tr>
    </w:tbl>
    <w:p w14:paraId="627EE876" w14:textId="3E0F6308" w:rsidR="00BE30CB" w:rsidRDefault="00BE30CB" w:rsidP="006F1161">
      <w:pPr>
        <w:pStyle w:val="Overskrift2"/>
        <w:rPr>
          <w:rFonts w:eastAsiaTheme="minorHAnsi"/>
        </w:rPr>
      </w:pPr>
      <w:bookmarkStart w:id="51" w:name="_Toc206753747"/>
      <w:r>
        <w:rPr>
          <w:rFonts w:eastAsiaTheme="minorHAnsi"/>
        </w:rPr>
        <w:t xml:space="preserve">Systemskifter </w:t>
      </w:r>
      <w:r w:rsidRPr="00581492">
        <w:rPr>
          <w:rFonts w:eastAsiaTheme="minorHAnsi"/>
        </w:rPr>
        <w:t>(avsnitt 3.</w:t>
      </w:r>
      <w:r>
        <w:rPr>
          <w:rFonts w:eastAsiaTheme="minorHAnsi"/>
        </w:rPr>
        <w:t>6</w:t>
      </w:r>
      <w:r w:rsidRPr="00581492">
        <w:rPr>
          <w:rFonts w:eastAsiaTheme="minorHAnsi"/>
        </w:rPr>
        <w:t xml:space="preserve"> i V122)</w:t>
      </w:r>
      <w:bookmarkEnd w:id="51"/>
    </w:p>
    <w:tbl>
      <w:tblPr>
        <w:tblW w:w="9072" w:type="dxa"/>
        <w:tblCellMar>
          <w:left w:w="70" w:type="dxa"/>
          <w:right w:w="70" w:type="dxa"/>
        </w:tblCellMar>
        <w:tblLook w:val="04A0" w:firstRow="1" w:lastRow="0" w:firstColumn="1" w:lastColumn="0" w:noHBand="0" w:noVBand="1"/>
      </w:tblPr>
      <w:tblGrid>
        <w:gridCol w:w="9072"/>
      </w:tblGrid>
      <w:tr w:rsidR="00E73DDD" w:rsidRPr="00886744" w14:paraId="06424EE2"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71A47D4" w14:textId="6FB646B6" w:rsidR="00E73DDD" w:rsidRPr="00886744" w:rsidRDefault="00D469CC" w:rsidP="002A7978">
            <w:r>
              <w:t>Med systemskifter menes overganger mellom ulike strekningsløsninger for sykkel. Anbefalingen er at de legges i kryss eller rundkjøringer, men de kan også legges på strekninger.</w:t>
            </w:r>
          </w:p>
        </w:tc>
      </w:tr>
    </w:tbl>
    <w:p w14:paraId="380E85E8" w14:textId="7196B3D1" w:rsidR="00EB6A3F" w:rsidRDefault="001A04B3" w:rsidP="00EB6A3F">
      <w:r>
        <w:t xml:space="preserve">Virkningen på ulykker av systemskifter vil alltid avhenge av den konkrete utformingen. </w:t>
      </w:r>
    </w:p>
    <w:p w14:paraId="08506CAC" w14:textId="1179D493" w:rsidR="001A04B3" w:rsidRDefault="001A04B3" w:rsidP="00EB6A3F">
      <w:r>
        <w:t xml:space="preserve">Systemskifter som innebærer «hull» i et sammenhengende nettverk av veger med sykkeltilrettelegging, kan i seg selv øke ulykkesrisikoen for syklister. Det viser Li et al. (2024). Resultatene viser at </w:t>
      </w:r>
      <w:r w:rsidR="00487DFE">
        <w:t>slike «hull»</w:t>
      </w:r>
      <w:r>
        <w:t xml:space="preserve"> i sykkelveger, sykkelfelt og andre separate sykkelløsninger medfører flere ulykker. </w:t>
      </w:r>
    </w:p>
    <w:p w14:paraId="7EA0182D" w14:textId="367E34E5" w:rsidR="00BE30CB" w:rsidRDefault="006F1161" w:rsidP="006F1161">
      <w:pPr>
        <w:pStyle w:val="Overskrift1"/>
      </w:pPr>
      <w:bookmarkStart w:id="52" w:name="_Toc206753748"/>
      <w:r>
        <w:t xml:space="preserve">Virkning på ulykkene: </w:t>
      </w:r>
      <w:r w:rsidR="00BE30CB">
        <w:t>Kryssløsninger (kapittel 4 i V122)</w:t>
      </w:r>
      <w:bookmarkEnd w:id="52"/>
    </w:p>
    <w:p w14:paraId="20609321" w14:textId="1AD9D14A" w:rsidR="00BE30CB" w:rsidRPr="006F1161" w:rsidRDefault="00BE30CB" w:rsidP="006F1161">
      <w:pPr>
        <w:pStyle w:val="Overskrift2"/>
      </w:pPr>
      <w:bookmarkStart w:id="53" w:name="_Toc206753749"/>
      <w:r w:rsidRPr="006F1161">
        <w:t xml:space="preserve">Sykkelfelt i T- og </w:t>
      </w:r>
      <w:proofErr w:type="spellStart"/>
      <w:r w:rsidRPr="006F1161">
        <w:t>X</w:t>
      </w:r>
      <w:proofErr w:type="spellEnd"/>
      <w:r w:rsidRPr="006F1161">
        <w:t>-kryss (avsnitt 4.1 i V122)</w:t>
      </w:r>
      <w:bookmarkEnd w:id="53"/>
    </w:p>
    <w:tbl>
      <w:tblPr>
        <w:tblW w:w="9072" w:type="dxa"/>
        <w:tblCellMar>
          <w:left w:w="70" w:type="dxa"/>
          <w:right w:w="70" w:type="dxa"/>
        </w:tblCellMar>
        <w:tblLook w:val="04A0" w:firstRow="1" w:lastRow="0" w:firstColumn="1" w:lastColumn="0" w:noHBand="0" w:noVBand="1"/>
      </w:tblPr>
      <w:tblGrid>
        <w:gridCol w:w="9072"/>
      </w:tblGrid>
      <w:tr w:rsidR="00E73DDD" w:rsidRPr="00886744" w14:paraId="681CF3F6"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135C5693" w14:textId="77777777" w:rsidR="00E73DDD" w:rsidRDefault="00E42BC8" w:rsidP="002A7978">
            <w:r>
              <w:t xml:space="preserve">Hvordan sykkelfelt føres gjennom kryss er beskrevet i V122 for ulike typer </w:t>
            </w:r>
            <w:proofErr w:type="spellStart"/>
            <w:r>
              <w:t>X</w:t>
            </w:r>
            <w:proofErr w:type="spellEnd"/>
            <w:r>
              <w:t xml:space="preserve">- og T-kryss (høyreregulert, forkjørsregulert, vikepliktsregulert og signalregulert. For signalregulerte kryss er følgende supplerende tiltak beskrevet: </w:t>
            </w:r>
          </w:p>
          <w:p w14:paraId="77DB45AE" w14:textId="77777777" w:rsidR="00E42BC8" w:rsidRDefault="00E42BC8">
            <w:pPr>
              <w:pStyle w:val="Listeavsnitt"/>
              <w:numPr>
                <w:ilvl w:val="0"/>
                <w:numId w:val="6"/>
              </w:numPr>
            </w:pPr>
            <w:r>
              <w:t xml:space="preserve">Tilbaketrukket stopplinje </w:t>
            </w:r>
          </w:p>
          <w:p w14:paraId="084557E6" w14:textId="77777777" w:rsidR="00E42BC8" w:rsidRDefault="00E42BC8">
            <w:pPr>
              <w:pStyle w:val="Listeavsnitt"/>
              <w:numPr>
                <w:ilvl w:val="0"/>
                <w:numId w:val="6"/>
              </w:numPr>
            </w:pPr>
            <w:r>
              <w:t>Sykkelboks</w:t>
            </w:r>
          </w:p>
          <w:p w14:paraId="0E9F636E" w14:textId="77777777" w:rsidR="00E42BC8" w:rsidRDefault="00E42BC8">
            <w:pPr>
              <w:pStyle w:val="Listeavsnitt"/>
              <w:numPr>
                <w:ilvl w:val="0"/>
                <w:numId w:val="6"/>
              </w:numPr>
            </w:pPr>
            <w:r>
              <w:t>Midtstilt sykkelfelt</w:t>
            </w:r>
          </w:p>
          <w:p w14:paraId="793457E5" w14:textId="63C11243" w:rsidR="00E42BC8" w:rsidRPr="00886744" w:rsidRDefault="00E42BC8">
            <w:pPr>
              <w:pStyle w:val="Listeavsnitt"/>
              <w:numPr>
                <w:ilvl w:val="0"/>
                <w:numId w:val="6"/>
              </w:numPr>
            </w:pPr>
            <w:r>
              <w:t>Filterfelt</w:t>
            </w:r>
          </w:p>
        </w:tc>
      </w:tr>
    </w:tbl>
    <w:p w14:paraId="4FF17737" w14:textId="66ACD52B" w:rsidR="00E42BC8" w:rsidRPr="00A756A9" w:rsidRDefault="00E42BC8" w:rsidP="00E42BC8">
      <w:pPr>
        <w:pStyle w:val="Overskrift3"/>
      </w:pPr>
      <w:r w:rsidRPr="00A756A9">
        <w:lastRenderedPageBreak/>
        <w:t>Tilbaketrukket stopplinje</w:t>
      </w:r>
      <w:r w:rsidR="00C8735B" w:rsidRPr="00A756A9">
        <w:t xml:space="preserve"> i signalregulerte kryss</w:t>
      </w:r>
      <w:r w:rsidRPr="00A756A9">
        <w:t xml:space="preserve"> (avsnitt 4.1.2 i V122)</w:t>
      </w:r>
    </w:p>
    <w:tbl>
      <w:tblPr>
        <w:tblW w:w="9072" w:type="dxa"/>
        <w:tblCellMar>
          <w:left w:w="70" w:type="dxa"/>
          <w:right w:w="70" w:type="dxa"/>
        </w:tblCellMar>
        <w:tblLook w:val="04A0" w:firstRow="1" w:lastRow="0" w:firstColumn="1" w:lastColumn="0" w:noHBand="0" w:noVBand="1"/>
      </w:tblPr>
      <w:tblGrid>
        <w:gridCol w:w="5103"/>
        <w:gridCol w:w="3969"/>
      </w:tblGrid>
      <w:tr w:rsidR="00E42018" w:rsidRPr="00886744" w14:paraId="3315B5B4" w14:textId="1BA2AB8A" w:rsidTr="00E42018">
        <w:trPr>
          <w:trHeight w:val="300"/>
        </w:trPr>
        <w:tc>
          <w:tcPr>
            <w:tcW w:w="5103" w:type="dxa"/>
            <w:tcBorders>
              <w:top w:val="nil"/>
              <w:left w:val="nil"/>
              <w:bottom w:val="nil"/>
              <w:right w:val="nil"/>
            </w:tcBorders>
            <w:shd w:val="clear" w:color="auto" w:fill="D9D9D9" w:themeFill="background1" w:themeFillShade="D9"/>
            <w:noWrap/>
          </w:tcPr>
          <w:p w14:paraId="1C98F5AD" w14:textId="5B66815C" w:rsidR="00E42018" w:rsidRPr="00886744" w:rsidRDefault="00E42018" w:rsidP="00E42018">
            <w:r>
              <w:t xml:space="preserve">Tilbaketrukket stopplinje betyr i </w:t>
            </w:r>
            <w:proofErr w:type="spellStart"/>
            <w:r>
              <w:t>hht</w:t>
            </w:r>
            <w:proofErr w:type="spellEnd"/>
            <w:r>
              <w:t>. V122 at s</w:t>
            </w:r>
            <w:r w:rsidRPr="00581492">
              <w:t xml:space="preserve">topplinjen for motorkjøretøy er trykket tilbake i forhold til syklistenes stopplinje med 2-5 m. </w:t>
            </w:r>
            <w:r>
              <w:t xml:space="preserve">Dette skal gjøre syklistene mer synlige og redusere </w:t>
            </w:r>
            <w:r w:rsidRPr="00581492">
              <w:t xml:space="preserve">forhindre ulykker og konflikter </w:t>
            </w:r>
            <w:r>
              <w:t xml:space="preserve">når </w:t>
            </w:r>
            <w:r w:rsidRPr="00581492">
              <w:t>signalet skifter fra rødt til grønt.</w:t>
            </w:r>
            <w:r w:rsidR="008270B2">
              <w:t xml:space="preserve"> Figur t.h. fra V122.</w:t>
            </w:r>
          </w:p>
        </w:tc>
        <w:tc>
          <w:tcPr>
            <w:tcW w:w="3969" w:type="dxa"/>
            <w:tcBorders>
              <w:top w:val="nil"/>
              <w:left w:val="nil"/>
              <w:bottom w:val="nil"/>
              <w:right w:val="nil"/>
            </w:tcBorders>
            <w:shd w:val="clear" w:color="auto" w:fill="D9D9D9" w:themeFill="background1" w:themeFillShade="D9"/>
          </w:tcPr>
          <w:p w14:paraId="4A9B92F7" w14:textId="6B5D4441" w:rsidR="00E42018" w:rsidRPr="00886744" w:rsidRDefault="00E42018" w:rsidP="002A7978">
            <w:r w:rsidRPr="00E42018">
              <w:rPr>
                <w:noProof/>
              </w:rPr>
              <w:drawing>
                <wp:inline distT="0" distB="0" distL="0" distR="0" wp14:anchorId="74105A83" wp14:editId="272369BC">
                  <wp:extent cx="2196990" cy="1809750"/>
                  <wp:effectExtent l="0" t="0" r="0" b="0"/>
                  <wp:docPr id="8829336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3635" name=""/>
                          <pic:cNvPicPr/>
                        </pic:nvPicPr>
                        <pic:blipFill>
                          <a:blip r:embed="rId27"/>
                          <a:stretch>
                            <a:fillRect/>
                          </a:stretch>
                        </pic:blipFill>
                        <pic:spPr>
                          <a:xfrm>
                            <a:off x="0" y="0"/>
                            <a:ext cx="2201547" cy="1813504"/>
                          </a:xfrm>
                          <a:prstGeom prst="rect">
                            <a:avLst/>
                          </a:prstGeom>
                        </pic:spPr>
                      </pic:pic>
                    </a:graphicData>
                  </a:graphic>
                </wp:inline>
              </w:drawing>
            </w:r>
          </w:p>
        </w:tc>
      </w:tr>
    </w:tbl>
    <w:p w14:paraId="0686424D" w14:textId="02316D91" w:rsidR="00BC44D7" w:rsidRDefault="003271FC" w:rsidP="00AB5260">
      <w:r>
        <w:t>Hvordan t</w:t>
      </w:r>
      <w:r w:rsidR="008270B2" w:rsidRPr="00AB5260">
        <w:t>ilbaketrukket stopplinje</w:t>
      </w:r>
      <w:r>
        <w:t>, i forhold til en stopplinje på lik høyde,</w:t>
      </w:r>
      <w:r w:rsidR="008270B2" w:rsidRPr="00AB5260">
        <w:t xml:space="preserve"> </w:t>
      </w:r>
      <w:r w:rsidR="00E42018" w:rsidRPr="00AB5260">
        <w:t>er undersøkt i flere eldre studier</w:t>
      </w:r>
      <w:r w:rsidR="00BC44D7">
        <w:t>:</w:t>
      </w:r>
      <w:r w:rsidR="00E42018" w:rsidRPr="00AB5260">
        <w:t xml:space="preserve"> </w:t>
      </w:r>
    </w:p>
    <w:p w14:paraId="0A628E18" w14:textId="6497C7D5" w:rsidR="00BC44D7" w:rsidRDefault="00BC44D7" w:rsidP="00BC44D7">
      <w:pPr>
        <w:ind w:left="567"/>
      </w:pPr>
      <w:bookmarkStart w:id="54" w:name="_Hlk198216501"/>
      <w:r w:rsidRPr="002241DF">
        <w:t>Nielsen, 1993 (Danmark)</w:t>
      </w:r>
      <w:r w:rsidRPr="002241DF">
        <w:br/>
        <w:t>Wheeler et al., 1993 (Storbritannia)</w:t>
      </w:r>
      <w:r w:rsidRPr="002241DF">
        <w:br/>
      </w:r>
      <w:r>
        <w:t>Jensen &amp; Nielsen, 1999 (Danmark)</w:t>
      </w:r>
      <w:r>
        <w:br/>
        <w:t>Jensen, 2002 (Danmark)</w:t>
      </w:r>
      <w:bookmarkEnd w:id="54"/>
    </w:p>
    <w:p w14:paraId="74696FE5" w14:textId="3446A3D8" w:rsidR="00AB5260" w:rsidRDefault="00E42018" w:rsidP="00AB5260">
      <w:r w:rsidRPr="00AB5260">
        <w:t>Sammenlagt har studiene funnet en reduksjon av antall sykkelulykker på 18</w:t>
      </w:r>
      <w:r w:rsidR="008270B2" w:rsidRPr="00AB5260">
        <w:t xml:space="preserve"> prosent</w:t>
      </w:r>
      <w:r w:rsidRPr="00AB5260">
        <w:t xml:space="preserve"> (-46; +25)</w:t>
      </w:r>
      <w:r w:rsidR="003271FC">
        <w:t>. Virkningen kan imidlertid være overestimert p</w:t>
      </w:r>
      <w:r w:rsidRPr="00AB5260">
        <w:t>å grunn av metod</w:t>
      </w:r>
      <w:r w:rsidR="003271FC">
        <w:t>olog</w:t>
      </w:r>
      <w:r w:rsidRPr="00AB5260">
        <w:t>iske svakheter</w:t>
      </w:r>
      <w:r w:rsidR="008270B2" w:rsidRPr="00AB5260">
        <w:t>,</w:t>
      </w:r>
      <w:r w:rsidRPr="00AB5260">
        <w:t xml:space="preserve"> og </w:t>
      </w:r>
      <w:r w:rsidR="008270B2" w:rsidRPr="00AB5260">
        <w:t xml:space="preserve">den </w:t>
      </w:r>
      <w:r w:rsidRPr="00AB5260">
        <w:t xml:space="preserve">kan ikke generaliseres. </w:t>
      </w:r>
    </w:p>
    <w:p w14:paraId="34961064" w14:textId="0B41F087" w:rsidR="00E42018" w:rsidRPr="00AB5260" w:rsidRDefault="00E42018" w:rsidP="00AB5260">
      <w:r w:rsidRPr="00AB5260">
        <w:t>Syklistene har i noen studier vist seg å føle seg tryggere.</w:t>
      </w:r>
      <w:r w:rsidR="00AB5260">
        <w:t xml:space="preserve"> </w:t>
      </w:r>
      <w:r w:rsidR="00AB5260" w:rsidRPr="00AB5260">
        <w:t xml:space="preserve">På den andre siden </w:t>
      </w:r>
      <w:r w:rsidR="00AB5260">
        <w:t xml:space="preserve">kan tiltaket kun forventes å påvirke risikoen i </w:t>
      </w:r>
      <w:r w:rsidR="00AB5260" w:rsidRPr="00AB5260">
        <w:t>situasjo</w:t>
      </w:r>
      <w:r w:rsidR="00AB5260">
        <w:t>ner hvor en syklist og en bil ankommer krysset på rødt. Slike situasjoner er imidlertid forbundet med lavere risiko enn om en syklist og en bil ankommer omtrent samtidig på grønt lys (</w:t>
      </w:r>
      <w:bookmarkStart w:id="55" w:name="_Hlk198216508"/>
      <w:r w:rsidR="00AB5260">
        <w:t>Buch &amp; Jensen, 2017</w:t>
      </w:r>
      <w:bookmarkEnd w:id="55"/>
      <w:r w:rsidR="00AB5260">
        <w:t xml:space="preserve">). Tiltaket vil med andre ord i hovedsak påvirke risikoen i situasjoner </w:t>
      </w:r>
      <w:r w:rsidR="00BC44D7">
        <w:t xml:space="preserve">hvor risikoen i utgangspunktet er forholdsvis </w:t>
      </w:r>
      <w:r w:rsidR="00AB5260">
        <w:t xml:space="preserve">lav, mens den ikke kan forventes å ha noen effekt i situasjoner med høyere risiko for syklister. </w:t>
      </w:r>
    </w:p>
    <w:p w14:paraId="7D77615A" w14:textId="3E41F519" w:rsidR="00E42BC8" w:rsidRPr="00A756A9" w:rsidRDefault="00E42BC8" w:rsidP="00E42BC8">
      <w:pPr>
        <w:pStyle w:val="Overskrift3"/>
      </w:pPr>
      <w:r w:rsidRPr="00A756A9">
        <w:t>Sykkelboks</w:t>
      </w:r>
      <w:r w:rsidR="00C8735B" w:rsidRPr="00A756A9">
        <w:t xml:space="preserve"> i signalregulerte kryss</w:t>
      </w:r>
      <w:r w:rsidRPr="00A756A9">
        <w:t xml:space="preserve"> (</w:t>
      </w:r>
      <w:r w:rsidR="008E35EB" w:rsidRPr="00E42BC8">
        <w:t>avsnitt 4.1</w:t>
      </w:r>
      <w:r w:rsidR="008E35EB">
        <w:t>.2</w:t>
      </w:r>
      <w:r w:rsidR="008E35EB" w:rsidRPr="00E42BC8">
        <w:t xml:space="preserve"> i V122</w:t>
      </w:r>
      <w:r w:rsidRPr="00A756A9">
        <w:t>)</w:t>
      </w:r>
    </w:p>
    <w:tbl>
      <w:tblPr>
        <w:tblW w:w="9072" w:type="dxa"/>
        <w:tblCellMar>
          <w:left w:w="70" w:type="dxa"/>
          <w:right w:w="70" w:type="dxa"/>
        </w:tblCellMar>
        <w:tblLook w:val="04A0" w:firstRow="1" w:lastRow="0" w:firstColumn="1" w:lastColumn="0" w:noHBand="0" w:noVBand="1"/>
      </w:tblPr>
      <w:tblGrid>
        <w:gridCol w:w="5103"/>
        <w:gridCol w:w="3969"/>
      </w:tblGrid>
      <w:tr w:rsidR="008270B2" w:rsidRPr="00886744" w14:paraId="5DC2A1CD" w14:textId="77777777" w:rsidTr="002A7978">
        <w:trPr>
          <w:trHeight w:val="300"/>
        </w:trPr>
        <w:tc>
          <w:tcPr>
            <w:tcW w:w="5103" w:type="dxa"/>
            <w:tcBorders>
              <w:top w:val="nil"/>
              <w:left w:val="nil"/>
              <w:bottom w:val="nil"/>
              <w:right w:val="nil"/>
            </w:tcBorders>
            <w:shd w:val="clear" w:color="auto" w:fill="D9D9D9" w:themeFill="background1" w:themeFillShade="D9"/>
            <w:noWrap/>
          </w:tcPr>
          <w:p w14:paraId="3929B072" w14:textId="34D4C45E" w:rsidR="008270B2" w:rsidRPr="00886744" w:rsidRDefault="008270B2" w:rsidP="008270B2">
            <w:r>
              <w:t xml:space="preserve">Sykkelboks er i </w:t>
            </w:r>
            <w:proofErr w:type="spellStart"/>
            <w:r>
              <w:t>hht</w:t>
            </w:r>
            <w:proofErr w:type="spellEnd"/>
            <w:r>
              <w:t>. V122 et oppmerket venteområde for syklister foran bilens stopplinjesom merkes med sykkelsymbol i kjørebanen. Sykkelboks kan etableres i kryss med og uten sykkelfelt på strekningen. Tiltaket skal forbedre fremkommeligheten for syklister og gjøre dem mer synlige for andre trafikanter. Figur t.h. fra V122.</w:t>
            </w:r>
          </w:p>
        </w:tc>
        <w:tc>
          <w:tcPr>
            <w:tcW w:w="3969" w:type="dxa"/>
            <w:tcBorders>
              <w:top w:val="nil"/>
              <w:left w:val="nil"/>
              <w:bottom w:val="nil"/>
              <w:right w:val="nil"/>
            </w:tcBorders>
            <w:shd w:val="clear" w:color="auto" w:fill="D9D9D9" w:themeFill="background1" w:themeFillShade="D9"/>
          </w:tcPr>
          <w:p w14:paraId="0F62D644" w14:textId="718C28E6" w:rsidR="008270B2" w:rsidRPr="00886744" w:rsidRDefault="008270B2" w:rsidP="002A7978">
            <w:r w:rsidRPr="008270B2">
              <w:rPr>
                <w:noProof/>
              </w:rPr>
              <w:drawing>
                <wp:inline distT="0" distB="0" distL="0" distR="0" wp14:anchorId="2909E276" wp14:editId="1DCE976A">
                  <wp:extent cx="1811914" cy="1409700"/>
                  <wp:effectExtent l="0" t="0" r="0" b="0"/>
                  <wp:docPr id="58670018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0183" name=""/>
                          <pic:cNvPicPr/>
                        </pic:nvPicPr>
                        <pic:blipFill>
                          <a:blip r:embed="rId28"/>
                          <a:stretch>
                            <a:fillRect/>
                          </a:stretch>
                        </pic:blipFill>
                        <pic:spPr>
                          <a:xfrm>
                            <a:off x="0" y="0"/>
                            <a:ext cx="1834552" cy="1427313"/>
                          </a:xfrm>
                          <a:prstGeom prst="rect">
                            <a:avLst/>
                          </a:prstGeom>
                        </pic:spPr>
                      </pic:pic>
                    </a:graphicData>
                  </a:graphic>
                </wp:inline>
              </w:drawing>
            </w:r>
          </w:p>
        </w:tc>
      </w:tr>
    </w:tbl>
    <w:p w14:paraId="3985D674" w14:textId="1AF4EE66" w:rsidR="00674007" w:rsidRDefault="003271FC" w:rsidP="0004022E">
      <w:r>
        <w:t xml:space="preserve">Hvordan </w:t>
      </w:r>
      <w:r w:rsidR="00674007">
        <w:t>sykkelboks på</w:t>
      </w:r>
      <w:r>
        <w:t>virker</w:t>
      </w:r>
      <w:r w:rsidR="00674007">
        <w:t xml:space="preserve"> antall sykkelulykker </w:t>
      </w:r>
      <w:r>
        <w:t xml:space="preserve">i signalregulerte kryss, </w:t>
      </w:r>
      <w:r w:rsidR="00674007">
        <w:t xml:space="preserve">er undersøkt av </w:t>
      </w:r>
      <w:bookmarkStart w:id="56" w:name="_Hlk198216518"/>
      <w:proofErr w:type="spellStart"/>
      <w:r w:rsidR="00674007">
        <w:t>Deliali</w:t>
      </w:r>
      <w:proofErr w:type="spellEnd"/>
      <w:r w:rsidR="00674007">
        <w:t xml:space="preserve"> et al. (2023</w:t>
      </w:r>
      <w:bookmarkEnd w:id="56"/>
      <w:r w:rsidR="00674007">
        <w:t xml:space="preserve">; USA). Resultatene viser at kryss med sykkelboks har færre ulykker enn ellers sammenlignbare kryss uten sykkelboks, men resultatet er meget usikkert (-43 prosent [-91; +275]). Noen av sykkelboksene i studien har farget belegg og sykkelsymbol, mens ander er kun oppmerket med hvite linjer og sykkelsymbol. </w:t>
      </w:r>
    </w:p>
    <w:p w14:paraId="7FF33AF4" w14:textId="1F50ABC1" w:rsidR="00E42018" w:rsidRDefault="0004022E" w:rsidP="0004022E">
      <w:r>
        <w:lastRenderedPageBreak/>
        <w:t xml:space="preserve">Virkninger </w:t>
      </w:r>
      <w:r w:rsidR="00E42018" w:rsidRPr="00581492">
        <w:t>på atferd er stort sett positive</w:t>
      </w:r>
      <w:r w:rsidR="00674007">
        <w:t xml:space="preserve"> (jf. </w:t>
      </w:r>
      <w:bookmarkStart w:id="57" w:name="_Hlk198216527"/>
      <w:r w:rsidR="00674007">
        <w:t>Høye, 2017)</w:t>
      </w:r>
      <w:r w:rsidR="00E42018" w:rsidRPr="00581492">
        <w:t>. B</w:t>
      </w:r>
      <w:bookmarkEnd w:id="57"/>
      <w:r w:rsidR="00E42018" w:rsidRPr="00581492">
        <w:t xml:space="preserve">l.a. blir syklistene mer synlige og </w:t>
      </w:r>
      <w:r w:rsidR="00674007">
        <w:t xml:space="preserve">de </w:t>
      </w:r>
      <w:r w:rsidR="00E42018" w:rsidRPr="00581492">
        <w:t>sjekker oftere om det kommer kjøretøy bakfra som skal svinge til høyre. De fleste sykliste</w:t>
      </w:r>
      <w:r>
        <w:t>r</w:t>
      </w:r>
      <w:r w:rsidR="00E42018" w:rsidRPr="00581492">
        <w:t xml:space="preserve"> føler seg også tryggere. Mange bilister respekterer imidlertid ikke </w:t>
      </w:r>
      <w:r w:rsidR="00674007">
        <w:t xml:space="preserve">at de ikke skal stå i </w:t>
      </w:r>
      <w:proofErr w:type="spellStart"/>
      <w:r w:rsidR="00E42018" w:rsidRPr="00581492">
        <w:t>sykkelboks</w:t>
      </w:r>
      <w:r w:rsidR="00674007">
        <w:t>en</w:t>
      </w:r>
      <w:proofErr w:type="spellEnd"/>
      <w:r w:rsidR="00E42018" w:rsidRPr="00581492">
        <w:t>. Likevel har det vist seg at bilister i større grad respekterer vikeplikt for syklister. Antall konflikter er uendret eller går ned.</w:t>
      </w:r>
    </w:p>
    <w:p w14:paraId="67DEBADF" w14:textId="500E8AE7" w:rsidR="00E42BC8" w:rsidRDefault="00E42BC8" w:rsidP="00E42BC8">
      <w:pPr>
        <w:pStyle w:val="Overskrift3"/>
      </w:pPr>
      <w:r>
        <w:t>Midtstilt sykkelfelt</w:t>
      </w:r>
      <w:r w:rsidR="00C8735B">
        <w:t xml:space="preserve"> i signalregulerte kryss</w:t>
      </w:r>
      <w:r>
        <w:t xml:space="preserve"> </w:t>
      </w:r>
      <w:r w:rsidRPr="00E42BC8">
        <w:t>(avsnitt 4.1</w:t>
      </w:r>
      <w:r>
        <w:t>.2</w:t>
      </w:r>
      <w:r w:rsidRPr="00E42BC8">
        <w:t xml:space="preserve"> i V122)</w:t>
      </w:r>
    </w:p>
    <w:tbl>
      <w:tblPr>
        <w:tblW w:w="9072" w:type="dxa"/>
        <w:tblCellMar>
          <w:left w:w="70" w:type="dxa"/>
          <w:right w:w="70" w:type="dxa"/>
        </w:tblCellMar>
        <w:tblLook w:val="04A0" w:firstRow="1" w:lastRow="0" w:firstColumn="1" w:lastColumn="0" w:noHBand="0" w:noVBand="1"/>
      </w:tblPr>
      <w:tblGrid>
        <w:gridCol w:w="9072"/>
      </w:tblGrid>
      <w:tr w:rsidR="008270B2" w:rsidRPr="00886744" w14:paraId="4C72668C" w14:textId="77777777" w:rsidTr="008270B2">
        <w:trPr>
          <w:trHeight w:val="300"/>
        </w:trPr>
        <w:tc>
          <w:tcPr>
            <w:tcW w:w="9072" w:type="dxa"/>
            <w:tcBorders>
              <w:top w:val="nil"/>
              <w:left w:val="nil"/>
              <w:bottom w:val="nil"/>
              <w:right w:val="nil"/>
            </w:tcBorders>
            <w:shd w:val="clear" w:color="auto" w:fill="D9D9D9" w:themeFill="background1" w:themeFillShade="D9"/>
            <w:noWrap/>
          </w:tcPr>
          <w:p w14:paraId="4E04EFD3" w14:textId="2DB5C0A9" w:rsidR="008270B2" w:rsidRPr="00886744" w:rsidRDefault="008270B2" w:rsidP="008270B2">
            <w:r w:rsidRPr="008270B2">
              <w:t>Midtstilt sykkelfelt</w:t>
            </w:r>
            <w:r>
              <w:t xml:space="preserve"> er i </w:t>
            </w:r>
            <w:proofErr w:type="spellStart"/>
            <w:r>
              <w:t>hht</w:t>
            </w:r>
            <w:proofErr w:type="spellEnd"/>
            <w:r>
              <w:t xml:space="preserve">. V122 </w:t>
            </w:r>
            <w:r w:rsidRPr="00581492">
              <w:t xml:space="preserve">et oppmerket </w:t>
            </w:r>
            <w:r>
              <w:t>sykkel</w:t>
            </w:r>
            <w:r w:rsidRPr="00581492">
              <w:t xml:space="preserve">felt til venstre for </w:t>
            </w:r>
            <w:r>
              <w:t>det høyre kjørefeltet</w:t>
            </w:r>
            <w:r w:rsidRPr="00581492">
              <w:t>.</w:t>
            </w:r>
            <w:r>
              <w:t xml:space="preserve"> Tiltaket skal </w:t>
            </w:r>
            <w:r w:rsidRPr="00581492">
              <w:t xml:space="preserve">gjøre syklister mer synlige </w:t>
            </w:r>
            <w:r>
              <w:t xml:space="preserve">for andre trafikanter og </w:t>
            </w:r>
            <w:r w:rsidRPr="00581492">
              <w:t xml:space="preserve">forhindre konflikter mellom syklister som skal rett fram og </w:t>
            </w:r>
            <w:proofErr w:type="spellStart"/>
            <w:r w:rsidRPr="00581492">
              <w:t>høyresvingende</w:t>
            </w:r>
            <w:proofErr w:type="spellEnd"/>
            <w:r w:rsidRPr="00581492">
              <w:t xml:space="preserve"> kjøretøy.</w:t>
            </w:r>
            <w:r>
              <w:t xml:space="preserve"> </w:t>
            </w:r>
          </w:p>
        </w:tc>
      </w:tr>
    </w:tbl>
    <w:p w14:paraId="72C5C31B" w14:textId="0EFB5BAF" w:rsidR="008270B2" w:rsidRDefault="00D776B7" w:rsidP="0004022E">
      <w:r>
        <w:t xml:space="preserve">Flere studier </w:t>
      </w:r>
      <w:r w:rsidRPr="00581492">
        <w:t>(</w:t>
      </w:r>
      <w:proofErr w:type="spellStart"/>
      <w:r>
        <w:t>Cai</w:t>
      </w:r>
      <w:proofErr w:type="spellEnd"/>
      <w:r>
        <w:t xml:space="preserve"> et al., 2021, Canada; </w:t>
      </w:r>
      <w:proofErr w:type="spellStart"/>
      <w:r w:rsidRPr="00581492">
        <w:t>Celis</w:t>
      </w:r>
      <w:proofErr w:type="spellEnd"/>
      <w:r w:rsidRPr="00581492">
        <w:t>, 1999</w:t>
      </w:r>
      <w:r>
        <w:t>, Danmark</w:t>
      </w:r>
      <w:r w:rsidRPr="00581492">
        <w:t>; Nielsen, 1995</w:t>
      </w:r>
      <w:r>
        <w:t>, Danmark</w:t>
      </w:r>
      <w:r w:rsidRPr="00581492">
        <w:t>)</w:t>
      </w:r>
      <w:r>
        <w:t xml:space="preserve"> </w:t>
      </w:r>
      <w:r w:rsidR="00E42018" w:rsidRPr="00581492">
        <w:t xml:space="preserve">viser at midtstilt sykkelfelt reduserer antall </w:t>
      </w:r>
      <w:proofErr w:type="gramStart"/>
      <w:r w:rsidR="00E42018" w:rsidRPr="00581492">
        <w:t>ulykker</w:t>
      </w:r>
      <w:bookmarkStart w:id="58" w:name="_Hlk198216534"/>
      <w:proofErr w:type="gramEnd"/>
      <w:r w:rsidR="00E42018" w:rsidRPr="00581492">
        <w:t xml:space="preserve"> </w:t>
      </w:r>
      <w:bookmarkEnd w:id="58"/>
      <w:r w:rsidR="00E42018" w:rsidRPr="00581492">
        <w:t xml:space="preserve">men uten at det er mulig å tallfeste resultatene. </w:t>
      </w:r>
      <w:r>
        <w:t xml:space="preserve">Kryssene i studiene er delvis signalregulert og delvis vikepliktsregulert. </w:t>
      </w:r>
    </w:p>
    <w:p w14:paraId="5DE72109" w14:textId="526CF4BF" w:rsidR="00D776B7" w:rsidRPr="00581492" w:rsidRDefault="00E42018" w:rsidP="0004022E">
      <w:r w:rsidRPr="00581492">
        <w:t>Andre studier viser at også antall konflikter går ned, samt at andelen bilister som overholdt vikeplikten for syklister og som brukte blinklys, øker.</w:t>
      </w:r>
      <w:r w:rsidR="008270B2" w:rsidRPr="008270B2">
        <w:t xml:space="preserve"> </w:t>
      </w:r>
      <w:r w:rsidR="008270B2">
        <w:t xml:space="preserve">Tiltaket kan imidlertid </w:t>
      </w:r>
      <w:proofErr w:type="gramStart"/>
      <w:r w:rsidR="008270B2">
        <w:t xml:space="preserve">føles </w:t>
      </w:r>
      <w:r w:rsidR="008270B2" w:rsidRPr="00581492">
        <w:t xml:space="preserve"> </w:t>
      </w:r>
      <w:r w:rsidR="008270B2">
        <w:t>utryg</w:t>
      </w:r>
      <w:r w:rsidR="0021070C">
        <w:t>t</w:t>
      </w:r>
      <w:proofErr w:type="gramEnd"/>
      <w:r w:rsidR="0021070C">
        <w:t xml:space="preserve"> for syklister (V122). </w:t>
      </w:r>
    </w:p>
    <w:p w14:paraId="0AAAA7BB" w14:textId="58F3975C" w:rsidR="00E42BC8" w:rsidRDefault="00E42BC8" w:rsidP="00E42BC8">
      <w:pPr>
        <w:pStyle w:val="Overskrift3"/>
      </w:pPr>
      <w:r>
        <w:t>Filterfelt</w:t>
      </w:r>
      <w:r w:rsidR="00C8735B">
        <w:t xml:space="preserve"> i signalregulerte kryss</w:t>
      </w:r>
      <w:r>
        <w:t xml:space="preserve"> </w:t>
      </w:r>
      <w:r w:rsidRPr="00E42BC8">
        <w:t>(avsnitt 4.1</w:t>
      </w:r>
      <w:r>
        <w:t>.2</w:t>
      </w:r>
      <w:r w:rsidRPr="00E42BC8">
        <w:t xml:space="preserve"> i V122)</w:t>
      </w:r>
    </w:p>
    <w:tbl>
      <w:tblPr>
        <w:tblW w:w="9072" w:type="dxa"/>
        <w:tblCellMar>
          <w:left w:w="70" w:type="dxa"/>
          <w:right w:w="70" w:type="dxa"/>
        </w:tblCellMar>
        <w:tblLook w:val="04A0" w:firstRow="1" w:lastRow="0" w:firstColumn="1" w:lastColumn="0" w:noHBand="0" w:noVBand="1"/>
      </w:tblPr>
      <w:tblGrid>
        <w:gridCol w:w="5103"/>
        <w:gridCol w:w="4250"/>
      </w:tblGrid>
      <w:tr w:rsidR="0004022E" w:rsidRPr="00886744" w14:paraId="62DAC56E" w14:textId="77777777" w:rsidTr="002A7978">
        <w:trPr>
          <w:trHeight w:val="300"/>
        </w:trPr>
        <w:tc>
          <w:tcPr>
            <w:tcW w:w="5103" w:type="dxa"/>
            <w:tcBorders>
              <w:top w:val="nil"/>
              <w:left w:val="nil"/>
              <w:bottom w:val="nil"/>
              <w:right w:val="nil"/>
            </w:tcBorders>
            <w:shd w:val="clear" w:color="auto" w:fill="D9D9D9" w:themeFill="background1" w:themeFillShade="D9"/>
            <w:noWrap/>
          </w:tcPr>
          <w:p w14:paraId="77FEB920" w14:textId="1704C8A1" w:rsidR="0004022E" w:rsidRPr="00886744" w:rsidRDefault="0004022E" w:rsidP="002A7978">
            <w:r>
              <w:t xml:space="preserve">Filterfelt er et separat sykkelfelt for </w:t>
            </w:r>
            <w:proofErr w:type="spellStart"/>
            <w:r>
              <w:t>høyresvingende</w:t>
            </w:r>
            <w:proofErr w:type="spellEnd"/>
            <w:r>
              <w:t xml:space="preserve"> syklister som på denne måten sykler utenfor signalreguleringen. Dette skal forbedre fremkommeligheten for </w:t>
            </w:r>
            <w:proofErr w:type="spellStart"/>
            <w:r>
              <w:t>høyresvingende</w:t>
            </w:r>
            <w:proofErr w:type="spellEnd"/>
            <w:r>
              <w:t xml:space="preserve"> syklister. Figur t.h. fra V122.</w:t>
            </w:r>
          </w:p>
        </w:tc>
        <w:tc>
          <w:tcPr>
            <w:tcW w:w="3969" w:type="dxa"/>
            <w:tcBorders>
              <w:top w:val="nil"/>
              <w:left w:val="nil"/>
              <w:bottom w:val="nil"/>
              <w:right w:val="nil"/>
            </w:tcBorders>
            <w:shd w:val="clear" w:color="auto" w:fill="D9D9D9" w:themeFill="background1" w:themeFillShade="D9"/>
          </w:tcPr>
          <w:p w14:paraId="02110ADF" w14:textId="5A09ABB7" w:rsidR="0004022E" w:rsidRPr="00886744" w:rsidRDefault="0004022E" w:rsidP="002A7978">
            <w:r w:rsidRPr="0004022E">
              <w:rPr>
                <w:noProof/>
              </w:rPr>
              <w:drawing>
                <wp:inline distT="0" distB="0" distL="0" distR="0" wp14:anchorId="400D7CC6" wp14:editId="36AAB440">
                  <wp:extent cx="2606093" cy="2133600"/>
                  <wp:effectExtent l="0" t="0" r="3810" b="0"/>
                  <wp:docPr id="20799290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9072" name=""/>
                          <pic:cNvPicPr/>
                        </pic:nvPicPr>
                        <pic:blipFill>
                          <a:blip r:embed="rId29"/>
                          <a:stretch>
                            <a:fillRect/>
                          </a:stretch>
                        </pic:blipFill>
                        <pic:spPr>
                          <a:xfrm>
                            <a:off x="0" y="0"/>
                            <a:ext cx="2610675" cy="2137351"/>
                          </a:xfrm>
                          <a:prstGeom prst="rect">
                            <a:avLst/>
                          </a:prstGeom>
                        </pic:spPr>
                      </pic:pic>
                    </a:graphicData>
                  </a:graphic>
                </wp:inline>
              </w:drawing>
            </w:r>
          </w:p>
        </w:tc>
      </w:tr>
    </w:tbl>
    <w:p w14:paraId="14DB268F" w14:textId="77777777" w:rsidR="00B01E04" w:rsidRDefault="00B01E04" w:rsidP="0004022E">
      <w:r>
        <w:t>Det er kun funnet én studie som har undersøkt virkningen av filterfelt i signalregulerte kryss (dansk: «</w:t>
      </w:r>
      <w:r w:rsidRPr="00B01E04">
        <w:t>cykelshunt</w:t>
      </w:r>
      <w:r>
        <w:t>») på ulykker (</w:t>
      </w:r>
      <w:bookmarkStart w:id="59" w:name="_Hlk198216543"/>
      <w:r w:rsidR="00E42018" w:rsidRPr="00581492">
        <w:t>Andersen et al.</w:t>
      </w:r>
      <w:r>
        <w:t xml:space="preserve">, </w:t>
      </w:r>
      <w:r w:rsidR="00E42018" w:rsidRPr="00581492">
        <w:t>2004, Danmark</w:t>
      </w:r>
      <w:bookmarkEnd w:id="59"/>
      <w:r w:rsidR="00E42018" w:rsidRPr="00581492">
        <w:t>)</w:t>
      </w:r>
      <w:r>
        <w:t xml:space="preserve">. Resultatene tyder ikke på at tiltaket kan føre til negative sikkerhetseffekter. Utover det er datagrunnlaget for lite til å anslå virkningen på ulykker. </w:t>
      </w:r>
    </w:p>
    <w:p w14:paraId="44332309" w14:textId="0885ECD4" w:rsidR="0004022E" w:rsidRPr="00581492" w:rsidRDefault="0004022E" w:rsidP="0004022E">
      <w:r>
        <w:t xml:space="preserve">Ulemper i </w:t>
      </w:r>
      <w:proofErr w:type="spellStart"/>
      <w:r>
        <w:t>hht</w:t>
      </w:r>
      <w:proofErr w:type="spellEnd"/>
      <w:r>
        <w:t xml:space="preserve">. V122 er at tiltaket er plasskrevende og at det kan føre til konflikter med gående som krysser vegen. </w:t>
      </w:r>
    </w:p>
    <w:p w14:paraId="63E527BF" w14:textId="7D1A64C3" w:rsidR="003271FC" w:rsidRDefault="003271FC" w:rsidP="003271FC">
      <w:pPr>
        <w:pStyle w:val="Overskrift3"/>
      </w:pPr>
      <w:r w:rsidRPr="002B2740">
        <w:t>Tilbaketrukket sykkelveg eller GS-veg</w:t>
      </w:r>
    </w:p>
    <w:p w14:paraId="0CE2A6FF" w14:textId="1667C88D" w:rsidR="00440C79" w:rsidRPr="00440C79" w:rsidRDefault="003271FC" w:rsidP="00440C79">
      <w:r>
        <w:t>Tilbaketrukket sykkelveg er standardløsningen for sykkelveg (dobbeltrettet)</w:t>
      </w:r>
      <w:r w:rsidR="00440C79">
        <w:t xml:space="preserve"> og GS-veg</w:t>
      </w:r>
      <w:r>
        <w:t xml:space="preserve"> i Norge</w:t>
      </w:r>
      <w:r w:rsidR="00E76F5F">
        <w:t xml:space="preserve"> og en rekke andre land (Sørensen, 2009)</w:t>
      </w:r>
      <w:r w:rsidR="00440C79">
        <w:t xml:space="preserve">. Dvs. at sykkelvegen / GS-vegen </w:t>
      </w:r>
      <w:r w:rsidR="00440C79" w:rsidRPr="00440C79">
        <w:t>trekkes ca. 5 m tilbake i kryssområdet, slik at en bil som skal krysse eller svinge inn i hovedvegen</w:t>
      </w:r>
      <w:r w:rsidR="00E76F5F">
        <w:t>,</w:t>
      </w:r>
      <w:r w:rsidR="00440C79" w:rsidRPr="00440C79">
        <w:t xml:space="preserve"> får plass mellom sykkelvegen og hovedvegen. </w:t>
      </w:r>
      <w:r w:rsidR="00440C79">
        <w:t>Syklistene har vikeplikt for kryssende</w:t>
      </w:r>
      <w:r w:rsidR="00440C79" w:rsidRPr="00440C79">
        <w:t xml:space="preserve"> trafikk. </w:t>
      </w:r>
    </w:p>
    <w:p w14:paraId="06DA1842" w14:textId="6C148AA3" w:rsidR="003271FC" w:rsidRDefault="00440C79" w:rsidP="00440C79">
      <w:r>
        <w:t xml:space="preserve">Vikepliktsreglene </w:t>
      </w:r>
      <w:r w:rsidR="003271FC" w:rsidRPr="00581492">
        <w:t>er lite kjent og skaper en del forvirring og uklare situasjoner (</w:t>
      </w:r>
      <w:bookmarkStart w:id="60" w:name="_Hlk198216552"/>
      <w:r w:rsidR="003271FC" w:rsidRPr="00581492">
        <w:t xml:space="preserve">Fyhri et al., 2012; Bjørnskau et al., 2012). </w:t>
      </w:r>
      <w:r>
        <w:t xml:space="preserve">Det er ikke funnet studier av virkninger på ulykker. </w:t>
      </w:r>
    </w:p>
    <w:bookmarkEnd w:id="60"/>
    <w:p w14:paraId="6CFD04E9" w14:textId="03648B5A" w:rsidR="00010AA0" w:rsidRPr="00E42BC8" w:rsidRDefault="003271FC" w:rsidP="00010AA0">
      <w:pPr>
        <w:pStyle w:val="Overskrift3"/>
      </w:pPr>
      <w:r>
        <w:lastRenderedPageBreak/>
        <w:t>Supplerende oppmerking</w:t>
      </w:r>
      <w:r w:rsidR="00010AA0">
        <w:t xml:space="preserve"> på sykkelfelt </w:t>
      </w:r>
      <w:r w:rsidR="00010AA0" w:rsidRPr="00E42BC8">
        <w:t>i kryss</w:t>
      </w:r>
      <w:r w:rsidR="00010AA0">
        <w:t xml:space="preserve"> </w:t>
      </w:r>
    </w:p>
    <w:p w14:paraId="29AF2EEC" w14:textId="7647C40C" w:rsidR="00BE30CB" w:rsidRPr="00581492" w:rsidRDefault="003271FC" w:rsidP="003271FC">
      <w:r>
        <w:t>Supplerende oppmerkingstiltak på sykkelfelt i kryss er undersøkt i disse studiene:</w:t>
      </w:r>
    </w:p>
    <w:p w14:paraId="40A7E807" w14:textId="2DD47C7C" w:rsidR="00BE30CB" w:rsidRPr="003271FC" w:rsidRDefault="00BE30CB" w:rsidP="00E42BC8">
      <w:pPr>
        <w:ind w:left="567"/>
      </w:pPr>
      <w:bookmarkStart w:id="61" w:name="_Hlk198216571"/>
      <w:r w:rsidRPr="003271FC">
        <w:t>Jensen (2002)</w:t>
      </w:r>
      <w:r w:rsidR="003271FC" w:rsidRPr="003271FC">
        <w:br/>
      </w:r>
      <w:proofErr w:type="spellStart"/>
      <w:r w:rsidR="003271FC" w:rsidRPr="003271FC">
        <w:t>Berggrein</w:t>
      </w:r>
      <w:proofErr w:type="spellEnd"/>
      <w:r w:rsidR="003271FC" w:rsidRPr="003271FC">
        <w:t xml:space="preserve"> &amp; Back, 2007 (Danmark)</w:t>
      </w:r>
      <w:r w:rsidRPr="003271FC">
        <w:br/>
        <w:t>Andersen et al. (2004)</w:t>
      </w:r>
      <w:r w:rsidRPr="003271FC">
        <w:br/>
      </w:r>
      <w:proofErr w:type="spellStart"/>
      <w:r w:rsidRPr="003271FC">
        <w:t>Berggrein</w:t>
      </w:r>
      <w:proofErr w:type="spellEnd"/>
      <w:r w:rsidRPr="003271FC">
        <w:t xml:space="preserve"> og Bach (2007)</w:t>
      </w:r>
      <w:bookmarkEnd w:id="61"/>
    </w:p>
    <w:p w14:paraId="36563764" w14:textId="59F2A882" w:rsidR="003271FC" w:rsidRDefault="003271FC" w:rsidP="003271FC">
      <w:r>
        <w:t>De undersøkt oppmerkings</w:t>
      </w:r>
      <w:r w:rsidR="00EE5A3A">
        <w:t>t</w:t>
      </w:r>
      <w:r>
        <w:t xml:space="preserve">iltakene er sykkelsymboler og ulike mønstre som dekker hele sykkelfeltet. Slik oppmerking skal i hovedsak gjøre bilister som krysser sykkelfeltet, gjøre mer oppmerksomme på syklistene. </w:t>
      </w:r>
      <w:r w:rsidR="00B30437">
        <w:t xml:space="preserve">Ingen av dem er beskrevet i norske håndbøker. </w:t>
      </w:r>
    </w:p>
    <w:p w14:paraId="047D3BA6" w14:textId="6729C75E" w:rsidR="00BE30CB" w:rsidRPr="00581492" w:rsidRDefault="003271FC" w:rsidP="003271FC">
      <w:pPr>
        <w:rPr>
          <w:color w:val="0070C0"/>
        </w:rPr>
      </w:pPr>
      <w:r>
        <w:t xml:space="preserve">Sammenlagt viser resultatene at antall sykkelulykker går ned med 19 prosent (-41; +13). Metodologisk er studiene imidlertid forholdsvis svake, og resultatet kan derfor være misvisende. </w:t>
      </w:r>
    </w:p>
    <w:p w14:paraId="0B298878" w14:textId="6DE1250A" w:rsidR="00BE30CB" w:rsidRPr="006F1161" w:rsidRDefault="00BE30CB" w:rsidP="006F1161">
      <w:pPr>
        <w:pStyle w:val="Overskrift2"/>
      </w:pPr>
      <w:bookmarkStart w:id="62" w:name="_Toc206753750"/>
      <w:r w:rsidRPr="006F1161">
        <w:t xml:space="preserve">Kryssing mellom veg </w:t>
      </w:r>
      <w:r w:rsidR="00BC7F0F">
        <w:t xml:space="preserve">og </w:t>
      </w:r>
      <w:r w:rsidR="00BC7F0F" w:rsidRPr="00BC7F0F">
        <w:t xml:space="preserve">sykkelveg eller GS-veg </w:t>
      </w:r>
      <w:r w:rsidRPr="006F1161">
        <w:t xml:space="preserve">i T- og </w:t>
      </w:r>
      <w:proofErr w:type="spellStart"/>
      <w:r w:rsidRPr="006F1161">
        <w:t>X</w:t>
      </w:r>
      <w:proofErr w:type="spellEnd"/>
      <w:r w:rsidRPr="006F1161">
        <w:t>-kryss (avsnitt 4.2 i V122)</w:t>
      </w:r>
      <w:bookmarkEnd w:id="62"/>
    </w:p>
    <w:p w14:paraId="53652767" w14:textId="0FDB701D" w:rsidR="00BE30CB" w:rsidRDefault="009A21A8" w:rsidP="00BC7F0F">
      <w:pPr>
        <w:pStyle w:val="Overskrift3"/>
      </w:pPr>
      <w:r w:rsidRPr="00BC7F0F">
        <w:t xml:space="preserve">Kryssing mellom veg </w:t>
      </w:r>
      <w:r>
        <w:t xml:space="preserve">og </w:t>
      </w:r>
      <w:r w:rsidRPr="00BC7F0F">
        <w:t xml:space="preserve">sykkelveg </w:t>
      </w:r>
      <w:r>
        <w:t xml:space="preserve">eller GS-veg </w:t>
      </w:r>
      <w:r w:rsidRPr="00BC7F0F">
        <w:t>i</w:t>
      </w:r>
      <w:r>
        <w:t xml:space="preserve"> h</w:t>
      </w:r>
      <w:r w:rsidR="00BE30CB">
        <w:t>øyreregulerte og forkjøringsregulerte kryss</w:t>
      </w:r>
      <w:r w:rsidR="00BC7F0F" w:rsidRPr="00BC7F0F">
        <w:t xml:space="preserve"> (avsnitt 4.2 i V122)</w:t>
      </w:r>
    </w:p>
    <w:tbl>
      <w:tblPr>
        <w:tblW w:w="9072" w:type="dxa"/>
        <w:tblCellMar>
          <w:left w:w="70" w:type="dxa"/>
          <w:right w:w="70" w:type="dxa"/>
        </w:tblCellMar>
        <w:tblLook w:val="04A0" w:firstRow="1" w:lastRow="0" w:firstColumn="1" w:lastColumn="0" w:noHBand="0" w:noVBand="1"/>
      </w:tblPr>
      <w:tblGrid>
        <w:gridCol w:w="3024"/>
        <w:gridCol w:w="3024"/>
        <w:gridCol w:w="3024"/>
      </w:tblGrid>
      <w:tr w:rsidR="00E97A99" w:rsidRPr="00886744" w14:paraId="7B3AFF18" w14:textId="77777777" w:rsidTr="00E97A99">
        <w:trPr>
          <w:trHeight w:val="300"/>
        </w:trPr>
        <w:tc>
          <w:tcPr>
            <w:tcW w:w="9072" w:type="dxa"/>
            <w:gridSpan w:val="3"/>
            <w:tcBorders>
              <w:top w:val="nil"/>
              <w:left w:val="nil"/>
              <w:bottom w:val="nil"/>
              <w:right w:val="nil"/>
            </w:tcBorders>
            <w:shd w:val="clear" w:color="auto" w:fill="D9D9D9" w:themeFill="background1" w:themeFillShade="D9"/>
            <w:noWrap/>
          </w:tcPr>
          <w:p w14:paraId="6AF68C4B" w14:textId="26CBC3CE" w:rsidR="00BC7F0F" w:rsidRDefault="00E97A99" w:rsidP="002A7978">
            <w:r>
              <w:t>Når en sykkelveg eller GS-veg krysser en sekundærveg</w:t>
            </w:r>
            <w:r w:rsidR="00D9461C">
              <w:t xml:space="preserve"> i et høyre- eller vikepliktsregulert kryss</w:t>
            </w:r>
            <w:r>
              <w:t>, skal sykkel- / GS-vegen trekkes 5 meter tilbake fra primærvegen, slik at det er plass til en bil fra sekundærvegen som skal svinne inn på hovedvegen. Hovedregelen er at syklister på sykkelveg og GS-veg har vikeplikt for trafikk på en kryssende veg</w:t>
            </w:r>
            <w:r w:rsidR="009E7F4B">
              <w:t xml:space="preserve">, de har derfor også vikeplikt for trafikk på sekundærvegen (de to figurene t.v.). </w:t>
            </w:r>
          </w:p>
          <w:p w14:paraId="00774913" w14:textId="6A375F7D" w:rsidR="009E7F4B" w:rsidRPr="00886744" w:rsidRDefault="002061CD" w:rsidP="002061CD">
            <w:r>
              <w:t xml:space="preserve">Under visse forutsetninger kan </w:t>
            </w:r>
            <w:r w:rsidR="009E7F4B">
              <w:t xml:space="preserve">trafikken på sekundærvegen ha vikeplikt for syklister på </w:t>
            </w:r>
            <w:r>
              <w:t xml:space="preserve">en enveisregulert </w:t>
            </w:r>
            <w:r w:rsidR="009E7F4B">
              <w:t>sykkelveg</w:t>
            </w:r>
            <w:r>
              <w:t xml:space="preserve">. Dette </w:t>
            </w:r>
            <w:r w:rsidR="009E7F4B">
              <w:t>kreve</w:t>
            </w:r>
            <w:r>
              <w:t>r</w:t>
            </w:r>
            <w:r w:rsidR="009E7F4B">
              <w:t xml:space="preserve"> </w:t>
            </w:r>
            <w:r>
              <w:t xml:space="preserve">imidlertid en risikovurdering da det bryter med generelle regler om vikeplikt. Det krever også </w:t>
            </w:r>
            <w:r w:rsidR="009E7F4B">
              <w:t xml:space="preserve">spesifikk skilting og oppmerking (figuren t.h.). </w:t>
            </w:r>
          </w:p>
        </w:tc>
      </w:tr>
      <w:tr w:rsidR="00E97A99" w:rsidRPr="00886744" w14:paraId="78997854" w14:textId="77777777" w:rsidTr="00E97A99">
        <w:trPr>
          <w:trHeight w:val="300"/>
        </w:trPr>
        <w:tc>
          <w:tcPr>
            <w:tcW w:w="3024" w:type="dxa"/>
            <w:tcBorders>
              <w:top w:val="nil"/>
              <w:left w:val="nil"/>
              <w:bottom w:val="nil"/>
              <w:right w:val="nil"/>
            </w:tcBorders>
            <w:shd w:val="clear" w:color="auto" w:fill="D9D9D9" w:themeFill="background1" w:themeFillShade="D9"/>
            <w:noWrap/>
          </w:tcPr>
          <w:p w14:paraId="65C9916B" w14:textId="646724B8" w:rsidR="009A21A8" w:rsidRDefault="009A21A8" w:rsidP="002A7978">
            <w:r>
              <w:t xml:space="preserve">GS-veg </w:t>
            </w:r>
            <w:r w:rsidR="00D9461C">
              <w:t>(</w:t>
            </w:r>
            <w:r>
              <w:t>med vikeplikt</w:t>
            </w:r>
            <w:r w:rsidR="00D9461C">
              <w:t xml:space="preserve">; </w:t>
            </w:r>
            <w:r>
              <w:t>samme løsning mulig uten gangfelt)</w:t>
            </w:r>
            <w:r w:rsidR="00E97A99">
              <w:t>:</w:t>
            </w:r>
          </w:p>
          <w:p w14:paraId="2D353499" w14:textId="77777777" w:rsidR="00E97A99" w:rsidRDefault="00E97A99" w:rsidP="002A7978">
            <w:r w:rsidRPr="00E97A99">
              <w:rPr>
                <w:noProof/>
              </w:rPr>
              <w:drawing>
                <wp:inline distT="0" distB="0" distL="0" distR="0" wp14:anchorId="607414D4" wp14:editId="0675EE0A">
                  <wp:extent cx="1470423" cy="2171700"/>
                  <wp:effectExtent l="0" t="0" r="0" b="0"/>
                  <wp:docPr id="457439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3964" name=""/>
                          <pic:cNvPicPr/>
                        </pic:nvPicPr>
                        <pic:blipFill>
                          <a:blip r:embed="rId30"/>
                          <a:stretch>
                            <a:fillRect/>
                          </a:stretch>
                        </pic:blipFill>
                        <pic:spPr>
                          <a:xfrm>
                            <a:off x="0" y="0"/>
                            <a:ext cx="1480262" cy="2186231"/>
                          </a:xfrm>
                          <a:prstGeom prst="rect">
                            <a:avLst/>
                          </a:prstGeom>
                        </pic:spPr>
                      </pic:pic>
                    </a:graphicData>
                  </a:graphic>
                </wp:inline>
              </w:drawing>
            </w:r>
          </w:p>
          <w:p w14:paraId="2EB37A0B" w14:textId="0B93EE77" w:rsidR="00E97A99" w:rsidRPr="00886744" w:rsidRDefault="00E97A99" w:rsidP="00E97A99">
            <w:pPr>
              <w:pStyle w:val="Kommentar"/>
              <w:numPr>
                <w:ilvl w:val="0"/>
                <w:numId w:val="0"/>
              </w:numPr>
            </w:pPr>
            <w:r w:rsidRPr="00E97A99">
              <w:rPr>
                <w:color w:val="00B0F0"/>
              </w:rPr>
              <w:t>(TSH 1.1 Kryss GS – 1)</w:t>
            </w:r>
          </w:p>
        </w:tc>
        <w:tc>
          <w:tcPr>
            <w:tcW w:w="3024" w:type="dxa"/>
            <w:tcBorders>
              <w:top w:val="nil"/>
              <w:left w:val="nil"/>
              <w:bottom w:val="nil"/>
              <w:right w:val="nil"/>
            </w:tcBorders>
            <w:shd w:val="clear" w:color="auto" w:fill="D9D9D9" w:themeFill="background1" w:themeFillShade="D9"/>
          </w:tcPr>
          <w:p w14:paraId="4BED88D7" w14:textId="3905609F" w:rsidR="009A21A8" w:rsidRDefault="009A21A8" w:rsidP="002A7978">
            <w:r>
              <w:t>Sykkelveg med fortau</w:t>
            </w:r>
            <w:r w:rsidR="00D9461C">
              <w:t xml:space="preserve"> (</w:t>
            </w:r>
            <w:r>
              <w:t>med vikeplikt</w:t>
            </w:r>
            <w:r w:rsidR="00D9461C">
              <w:t>):</w:t>
            </w:r>
          </w:p>
          <w:p w14:paraId="479508B0" w14:textId="67BCCCFC" w:rsidR="00E97A99" w:rsidRDefault="00E97A99" w:rsidP="002A7978">
            <w:r w:rsidRPr="00E97A99">
              <w:rPr>
                <w:noProof/>
              </w:rPr>
              <w:drawing>
                <wp:inline distT="0" distB="0" distL="0" distR="0" wp14:anchorId="5110BC75" wp14:editId="36997CA6">
                  <wp:extent cx="1747806" cy="2181225"/>
                  <wp:effectExtent l="0" t="0" r="5080" b="0"/>
                  <wp:docPr id="7262439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43975" name=""/>
                          <pic:cNvPicPr/>
                        </pic:nvPicPr>
                        <pic:blipFill>
                          <a:blip r:embed="rId31"/>
                          <a:stretch>
                            <a:fillRect/>
                          </a:stretch>
                        </pic:blipFill>
                        <pic:spPr>
                          <a:xfrm>
                            <a:off x="0" y="0"/>
                            <a:ext cx="1759800" cy="2196193"/>
                          </a:xfrm>
                          <a:prstGeom prst="rect">
                            <a:avLst/>
                          </a:prstGeom>
                        </pic:spPr>
                      </pic:pic>
                    </a:graphicData>
                  </a:graphic>
                </wp:inline>
              </w:drawing>
            </w:r>
          </w:p>
          <w:p w14:paraId="365DB9C9" w14:textId="6CFC9C59" w:rsidR="00E97A99" w:rsidRPr="00886744" w:rsidRDefault="00E97A99" w:rsidP="00E97A99">
            <w:pPr>
              <w:pStyle w:val="Kommentar"/>
              <w:numPr>
                <w:ilvl w:val="0"/>
                <w:numId w:val="0"/>
              </w:numPr>
            </w:pPr>
            <w:r w:rsidRPr="00E97A99">
              <w:rPr>
                <w:color w:val="00B0F0"/>
              </w:rPr>
              <w:t xml:space="preserve">(TSH 1.1 Kryss GS – </w:t>
            </w:r>
            <w:r>
              <w:rPr>
                <w:color w:val="00B0F0"/>
              </w:rPr>
              <w:t>2</w:t>
            </w:r>
            <w:r w:rsidRPr="00E97A99">
              <w:rPr>
                <w:color w:val="00B0F0"/>
              </w:rPr>
              <w:t>)</w:t>
            </w:r>
          </w:p>
        </w:tc>
        <w:tc>
          <w:tcPr>
            <w:tcW w:w="3024" w:type="dxa"/>
            <w:tcBorders>
              <w:top w:val="nil"/>
              <w:left w:val="nil"/>
              <w:bottom w:val="nil"/>
              <w:right w:val="nil"/>
            </w:tcBorders>
            <w:shd w:val="clear" w:color="auto" w:fill="D9D9D9" w:themeFill="background1" w:themeFillShade="D9"/>
          </w:tcPr>
          <w:p w14:paraId="4D61687C" w14:textId="3C5A39CE" w:rsidR="009A21A8" w:rsidRDefault="00E97A99" w:rsidP="002A7978">
            <w:r>
              <w:t xml:space="preserve">Sykkelveg med fortau, </w:t>
            </w:r>
            <w:r w:rsidRPr="00D9461C">
              <w:rPr>
                <w:u w:val="single"/>
              </w:rPr>
              <w:t>uten</w:t>
            </w:r>
            <w:r>
              <w:t xml:space="preserve"> vikeplikt</w:t>
            </w:r>
            <w:r w:rsidR="00D9461C">
              <w:t xml:space="preserve"> for syklende:</w:t>
            </w:r>
          </w:p>
          <w:p w14:paraId="40581A51" w14:textId="43AC8338" w:rsidR="00E97A99" w:rsidRDefault="00E97A99" w:rsidP="002A7978">
            <w:r w:rsidRPr="00E97A99">
              <w:rPr>
                <w:noProof/>
              </w:rPr>
              <w:drawing>
                <wp:inline distT="0" distB="0" distL="0" distR="0" wp14:anchorId="4C32C7C5" wp14:editId="07C547B9">
                  <wp:extent cx="1704975" cy="2159919"/>
                  <wp:effectExtent l="0" t="0" r="0" b="0"/>
                  <wp:docPr id="15534164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6457" name=""/>
                          <pic:cNvPicPr/>
                        </pic:nvPicPr>
                        <pic:blipFill>
                          <a:blip r:embed="rId32"/>
                          <a:stretch>
                            <a:fillRect/>
                          </a:stretch>
                        </pic:blipFill>
                        <pic:spPr>
                          <a:xfrm>
                            <a:off x="0" y="0"/>
                            <a:ext cx="1720161" cy="2179157"/>
                          </a:xfrm>
                          <a:prstGeom prst="rect">
                            <a:avLst/>
                          </a:prstGeom>
                        </pic:spPr>
                      </pic:pic>
                    </a:graphicData>
                  </a:graphic>
                </wp:inline>
              </w:drawing>
            </w:r>
          </w:p>
          <w:p w14:paraId="00B34638" w14:textId="27530A09" w:rsidR="00E97A99" w:rsidRPr="00886744" w:rsidRDefault="00E97A99" w:rsidP="00E97A99">
            <w:pPr>
              <w:pStyle w:val="Kommentar"/>
              <w:numPr>
                <w:ilvl w:val="0"/>
                <w:numId w:val="0"/>
              </w:numPr>
            </w:pPr>
            <w:r w:rsidRPr="00E97A99">
              <w:rPr>
                <w:color w:val="00B0F0"/>
              </w:rPr>
              <w:t xml:space="preserve">(TSH 1.1 Kryss GS – </w:t>
            </w:r>
            <w:r>
              <w:rPr>
                <w:color w:val="00B0F0"/>
              </w:rPr>
              <w:t>3</w:t>
            </w:r>
            <w:r w:rsidRPr="00E97A99">
              <w:rPr>
                <w:color w:val="00B0F0"/>
              </w:rPr>
              <w:t>)</w:t>
            </w:r>
          </w:p>
        </w:tc>
      </w:tr>
    </w:tbl>
    <w:p w14:paraId="2296C9B7" w14:textId="2810DECF" w:rsidR="00E94043" w:rsidRPr="00A756A9" w:rsidRDefault="00E94043" w:rsidP="00E94043">
      <w:pPr>
        <w:pStyle w:val="Overskrift3"/>
      </w:pPr>
      <w:proofErr w:type="spellStart"/>
      <w:r w:rsidRPr="00A756A9">
        <w:lastRenderedPageBreak/>
        <w:t>Forkjørsregulering</w:t>
      </w:r>
      <w:proofErr w:type="spellEnd"/>
      <w:r w:rsidRPr="00A756A9">
        <w:t xml:space="preserve"> av sykkelveg i vikepliktsregulert kryss</w:t>
      </w:r>
    </w:p>
    <w:tbl>
      <w:tblPr>
        <w:tblW w:w="9072" w:type="dxa"/>
        <w:tblCellMar>
          <w:left w:w="70" w:type="dxa"/>
          <w:right w:w="70" w:type="dxa"/>
        </w:tblCellMar>
        <w:tblLook w:val="04A0" w:firstRow="1" w:lastRow="0" w:firstColumn="1" w:lastColumn="0" w:noHBand="0" w:noVBand="1"/>
      </w:tblPr>
      <w:tblGrid>
        <w:gridCol w:w="9072"/>
      </w:tblGrid>
      <w:tr w:rsidR="00BD3B40" w:rsidRPr="00886744" w14:paraId="3E13A60C" w14:textId="77777777" w:rsidTr="00E55F06">
        <w:trPr>
          <w:trHeight w:val="300"/>
        </w:trPr>
        <w:tc>
          <w:tcPr>
            <w:tcW w:w="9072" w:type="dxa"/>
            <w:tcBorders>
              <w:top w:val="nil"/>
              <w:left w:val="nil"/>
              <w:bottom w:val="nil"/>
              <w:right w:val="nil"/>
            </w:tcBorders>
            <w:shd w:val="clear" w:color="auto" w:fill="D9D9D9" w:themeFill="background1" w:themeFillShade="D9"/>
            <w:noWrap/>
          </w:tcPr>
          <w:p w14:paraId="06246A6E" w14:textId="3F49B32B" w:rsidR="00BD3B40" w:rsidRPr="00886744" w:rsidRDefault="00BD3B40" w:rsidP="00BD3B40">
            <w:r>
              <w:t xml:space="preserve">Standardløsningen i Norge er at (dobbeltrettede) sykkelveger som krysser en sideveg i et vikepliktsregulert kryss, er vikepliktsregulert, dvs. at syklistene på sykkelvegen har vikeplikt for trafikken på sidevegen. </w:t>
            </w:r>
          </w:p>
        </w:tc>
      </w:tr>
    </w:tbl>
    <w:p w14:paraId="564E32C9" w14:textId="01A903D4" w:rsidR="00BD3B40" w:rsidRDefault="00BD3B40" w:rsidP="00BD3B40">
      <w:r>
        <w:t>En dansk studie (</w:t>
      </w:r>
      <w:bookmarkStart w:id="63" w:name="_Hlk198216588"/>
      <w:r>
        <w:t>Jensen, 2023</w:t>
      </w:r>
      <w:bookmarkEnd w:id="63"/>
      <w:r>
        <w:t xml:space="preserve">) viser at ulykkesrisikoen for syklister på dobbeltrettet sykkelveg i kryss er 82 prosent lavere (-91; -66) når syklistene har vikeplikt enn når trafikken inn og ut av sidevegen har vikeplikt for syklistene. Det betyr at </w:t>
      </w:r>
      <w:r w:rsidR="009A54BF">
        <w:t xml:space="preserve">dobbeltrettet sykkelveg i kryss har </w:t>
      </w:r>
      <w:r>
        <w:t xml:space="preserve">over fire ganger så høy </w:t>
      </w:r>
      <w:r w:rsidR="009A54BF">
        <w:t xml:space="preserve">ulykkesrisiko når syklistene på sykkelvegen har </w:t>
      </w:r>
      <w:r>
        <w:t xml:space="preserve">vikeplikt enn </w:t>
      </w:r>
      <w:r w:rsidR="009A54BF">
        <w:t xml:space="preserve">når </w:t>
      </w:r>
      <w:r>
        <w:t>trafikk</w:t>
      </w:r>
      <w:r w:rsidR="009A54BF">
        <w:t>en</w:t>
      </w:r>
      <w:r>
        <w:t xml:space="preserve"> på sidevegen</w:t>
      </w:r>
      <w:r w:rsidR="009A54BF">
        <w:t xml:space="preserve"> har vikeplikt</w:t>
      </w:r>
      <w:r>
        <w:t xml:space="preserve">. </w:t>
      </w:r>
    </w:p>
    <w:p w14:paraId="0DC53FA2" w14:textId="00AA8083" w:rsidR="00E94043" w:rsidRPr="0065055F" w:rsidRDefault="00BD3B40" w:rsidP="00BD3B40">
      <w:r>
        <w:t>En tidligere dansk studie (</w:t>
      </w:r>
      <w:r w:rsidR="00E94043" w:rsidRPr="0065055F">
        <w:t>Buch &amp; Jensen</w:t>
      </w:r>
      <w:r>
        <w:t xml:space="preserve">, </w:t>
      </w:r>
      <w:r w:rsidR="00E94043" w:rsidRPr="0065055F">
        <w:t>2013)</w:t>
      </w:r>
      <w:r>
        <w:t xml:space="preserve"> har sammenlignet ulike varianter av dobbeltrettede sykkelveger i vikepliktsregulerte kryss. Også denne studien viser at d</w:t>
      </w:r>
      <w:r w:rsidR="00E94043" w:rsidRPr="0065055F">
        <w:t>obbeltrettede sykkelveger i kryss har lan</w:t>
      </w:r>
      <w:r w:rsidR="00E94043">
        <w:t>gt høyere ulykkesrisiko for syklister når trafikantene på sidevegen har vikeplikt for syklistene på sykkelveien enn når syklistene har vikeplikt</w:t>
      </w:r>
      <w:r>
        <w:t xml:space="preserve">. Dette gjelder </w:t>
      </w:r>
      <w:r w:rsidR="00E94043">
        <w:t>spesielt når sykkelveien har gjennomgående oppmerket midtlinje</w:t>
      </w:r>
      <w:r>
        <w:t xml:space="preserve">, og risikoen øker ytterligere når sykkelveien i tillegg har </w:t>
      </w:r>
      <w:r w:rsidR="00E94043">
        <w:t>farget belegg.</w:t>
      </w:r>
    </w:p>
    <w:p w14:paraId="2513C00B" w14:textId="62D43CF3" w:rsidR="008606A9" w:rsidRDefault="008606A9" w:rsidP="0080718D">
      <w:pPr>
        <w:pStyle w:val="Overskrift3"/>
      </w:pPr>
      <w:proofErr w:type="spellStart"/>
      <w:r>
        <w:t>Forkjørsregulering</w:t>
      </w:r>
      <w:proofErr w:type="spellEnd"/>
      <w:r>
        <w:t xml:space="preserve"> av sykkelveg som krysser veg</w:t>
      </w:r>
      <w:r w:rsidR="00AB5260">
        <w:t xml:space="preserve"> på strekning</w:t>
      </w:r>
    </w:p>
    <w:p w14:paraId="580658D0" w14:textId="54788BF0" w:rsidR="00604D4A" w:rsidRDefault="007E63B4" w:rsidP="008606A9">
      <w:r>
        <w:t>I Sverige er det i 2014 innført «</w:t>
      </w:r>
      <w:proofErr w:type="spellStart"/>
      <w:r w:rsidRPr="007E63B4">
        <w:t>cykelöverfart</w:t>
      </w:r>
      <w:proofErr w:type="spellEnd"/>
      <w:r>
        <w:t xml:space="preserve">», en ny type kryssing mellom sykkelveg og veg </w:t>
      </w:r>
      <w:r w:rsidR="00466825">
        <w:t xml:space="preserve">(som heller ikke finnes i norske håndbøker) </w:t>
      </w:r>
      <w:r>
        <w:t>hvor trafikken på vegen har vikeplikt for kryssende syklister</w:t>
      </w:r>
      <w:r w:rsidR="00604D4A">
        <w:t xml:space="preserve"> og hvor utformingen skal sikre at trafikken på vegen ikke kjører fortere enn 30 km/t</w:t>
      </w:r>
      <w:r>
        <w:t xml:space="preserve">. Før dette var den eneste </w:t>
      </w:r>
      <w:proofErr w:type="spellStart"/>
      <w:r>
        <w:t>kryssingstypen</w:t>
      </w:r>
      <w:proofErr w:type="spellEnd"/>
      <w:r>
        <w:t xml:space="preserve"> «</w:t>
      </w:r>
      <w:proofErr w:type="spellStart"/>
      <w:r>
        <w:t>cykelpassage</w:t>
      </w:r>
      <w:proofErr w:type="spellEnd"/>
      <w:r>
        <w:t xml:space="preserve">» hvor de kryssende syklistene har vikeplikt. </w:t>
      </w:r>
    </w:p>
    <w:p w14:paraId="48BA5CB1" w14:textId="73B600E9" w:rsidR="008606A9" w:rsidRDefault="00604D4A" w:rsidP="008606A9">
      <w:r>
        <w:t xml:space="preserve">Virkningen ser ut til å komme an på utformingen. En studie fant redusert fart (Berg, 2017). En annen studie fant økt konfliktpotensial da </w:t>
      </w:r>
      <w:r w:rsidR="007E63B4">
        <w:t>syklistene forvente</w:t>
      </w:r>
      <w:r>
        <w:t>t</w:t>
      </w:r>
      <w:r w:rsidR="007E63B4">
        <w:t xml:space="preserve"> at bilene </w:t>
      </w:r>
      <w:r>
        <w:t>ville</w:t>
      </w:r>
      <w:r w:rsidR="007E63B4">
        <w:t xml:space="preserve"> overholder vikeplikten, </w:t>
      </w:r>
      <w:r>
        <w:t xml:space="preserve">mens bilistene verken senket farten eller overholdt vikeplikten </w:t>
      </w:r>
      <w:r w:rsidR="007E63B4">
        <w:t xml:space="preserve">(Svensson &amp; Ekblad, 2018). </w:t>
      </w:r>
    </w:p>
    <w:tbl>
      <w:tblPr>
        <w:tblW w:w="7693" w:type="dxa"/>
        <w:tblCellMar>
          <w:left w:w="70" w:type="dxa"/>
          <w:right w:w="70" w:type="dxa"/>
        </w:tblCellMar>
        <w:tblLook w:val="04A0" w:firstRow="1" w:lastRow="0" w:firstColumn="1" w:lastColumn="0" w:noHBand="0" w:noVBand="1"/>
      </w:tblPr>
      <w:tblGrid>
        <w:gridCol w:w="1473"/>
        <w:gridCol w:w="3110"/>
        <w:gridCol w:w="3110"/>
      </w:tblGrid>
      <w:tr w:rsidR="008606A9" w:rsidRPr="00EE5A3A" w14:paraId="2D753BF4" w14:textId="77777777" w:rsidTr="00EE5A3A">
        <w:trPr>
          <w:trHeight w:val="300"/>
        </w:trPr>
        <w:tc>
          <w:tcPr>
            <w:tcW w:w="1473" w:type="dxa"/>
            <w:tcBorders>
              <w:top w:val="nil"/>
              <w:left w:val="nil"/>
              <w:bottom w:val="nil"/>
              <w:right w:val="nil"/>
            </w:tcBorders>
            <w:noWrap/>
            <w:vAlign w:val="bottom"/>
            <w:hideMark/>
          </w:tcPr>
          <w:p w14:paraId="76FA92DB" w14:textId="334FC075" w:rsidR="008606A9" w:rsidRPr="00EE5A3A" w:rsidRDefault="008606A9" w:rsidP="00296344">
            <w:pPr>
              <w:keepNext/>
              <w:spacing w:before="40" w:after="40"/>
              <w:rPr>
                <w:b/>
                <w:bCs/>
                <w:u w:val="single"/>
              </w:rPr>
            </w:pPr>
          </w:p>
        </w:tc>
        <w:tc>
          <w:tcPr>
            <w:tcW w:w="3110" w:type="dxa"/>
            <w:tcBorders>
              <w:top w:val="nil"/>
              <w:left w:val="nil"/>
              <w:bottom w:val="nil"/>
              <w:right w:val="nil"/>
            </w:tcBorders>
            <w:noWrap/>
            <w:vAlign w:val="bottom"/>
            <w:hideMark/>
          </w:tcPr>
          <w:p w14:paraId="05E0D77E" w14:textId="4EAF3522" w:rsidR="008606A9" w:rsidRPr="00EE5A3A" w:rsidRDefault="008606A9" w:rsidP="00296344">
            <w:pPr>
              <w:keepNext/>
              <w:spacing w:before="40" w:after="40"/>
              <w:rPr>
                <w:b/>
                <w:bCs/>
                <w:sz w:val="20"/>
                <w:szCs w:val="20"/>
                <w:u w:val="single"/>
              </w:rPr>
            </w:pPr>
            <w:proofErr w:type="spellStart"/>
            <w:r w:rsidRPr="00EE5A3A">
              <w:rPr>
                <w:b/>
                <w:bCs/>
                <w:sz w:val="20"/>
                <w:szCs w:val="20"/>
                <w:u w:val="single"/>
              </w:rPr>
              <w:t>Cykelöverfart</w:t>
            </w:r>
            <w:proofErr w:type="spellEnd"/>
          </w:p>
        </w:tc>
        <w:tc>
          <w:tcPr>
            <w:tcW w:w="3110" w:type="dxa"/>
            <w:tcBorders>
              <w:top w:val="nil"/>
              <w:left w:val="nil"/>
              <w:bottom w:val="nil"/>
              <w:right w:val="nil"/>
            </w:tcBorders>
            <w:vAlign w:val="bottom"/>
          </w:tcPr>
          <w:p w14:paraId="1DB7C109" w14:textId="15972904" w:rsidR="008606A9" w:rsidRPr="00EE5A3A" w:rsidRDefault="008606A9" w:rsidP="00296344">
            <w:pPr>
              <w:keepNext/>
              <w:spacing w:before="40" w:after="40"/>
              <w:rPr>
                <w:b/>
                <w:bCs/>
                <w:sz w:val="20"/>
                <w:szCs w:val="20"/>
                <w:u w:val="single"/>
              </w:rPr>
            </w:pPr>
            <w:proofErr w:type="spellStart"/>
            <w:r w:rsidRPr="00EE5A3A">
              <w:rPr>
                <w:b/>
                <w:bCs/>
                <w:sz w:val="20"/>
                <w:szCs w:val="20"/>
                <w:u w:val="single"/>
              </w:rPr>
              <w:t>Cykelpassage</w:t>
            </w:r>
            <w:proofErr w:type="spellEnd"/>
          </w:p>
        </w:tc>
      </w:tr>
      <w:tr w:rsidR="008606A9" w:rsidRPr="008606A9" w14:paraId="4CC7B890" w14:textId="386A9D56" w:rsidTr="00EE5A3A">
        <w:trPr>
          <w:trHeight w:val="300"/>
        </w:trPr>
        <w:tc>
          <w:tcPr>
            <w:tcW w:w="1473" w:type="dxa"/>
            <w:tcBorders>
              <w:top w:val="nil"/>
              <w:left w:val="nil"/>
              <w:bottom w:val="nil"/>
              <w:right w:val="nil"/>
            </w:tcBorders>
            <w:noWrap/>
          </w:tcPr>
          <w:p w14:paraId="15EA10B3" w14:textId="1DB436C1" w:rsidR="008606A9" w:rsidRPr="00EE5A3A" w:rsidRDefault="008606A9" w:rsidP="00EE5A3A">
            <w:pPr>
              <w:spacing w:before="40" w:after="40"/>
              <w:rPr>
                <w:sz w:val="20"/>
                <w:szCs w:val="20"/>
              </w:rPr>
            </w:pPr>
            <w:proofErr w:type="spellStart"/>
            <w:r w:rsidRPr="00EE5A3A">
              <w:rPr>
                <w:sz w:val="20"/>
                <w:szCs w:val="20"/>
              </w:rPr>
              <w:t>Danieli</w:t>
            </w:r>
            <w:proofErr w:type="spellEnd"/>
            <w:r w:rsidRPr="00EE5A3A">
              <w:rPr>
                <w:sz w:val="20"/>
                <w:szCs w:val="20"/>
              </w:rPr>
              <w:t xml:space="preserve"> &amp; </w:t>
            </w:r>
            <w:proofErr w:type="spellStart"/>
            <w:r w:rsidRPr="00EE5A3A">
              <w:rPr>
                <w:sz w:val="20"/>
                <w:szCs w:val="20"/>
              </w:rPr>
              <w:t>Unosson</w:t>
            </w:r>
            <w:proofErr w:type="spellEnd"/>
            <w:r w:rsidRPr="00EE5A3A">
              <w:rPr>
                <w:sz w:val="20"/>
                <w:szCs w:val="20"/>
              </w:rPr>
              <w:t xml:space="preserve"> (2021)</w:t>
            </w:r>
          </w:p>
        </w:tc>
        <w:tc>
          <w:tcPr>
            <w:tcW w:w="3110" w:type="dxa"/>
            <w:tcBorders>
              <w:top w:val="nil"/>
              <w:left w:val="nil"/>
              <w:bottom w:val="nil"/>
              <w:right w:val="nil"/>
            </w:tcBorders>
            <w:noWrap/>
            <w:hideMark/>
          </w:tcPr>
          <w:p w14:paraId="4F8F6FFA" w14:textId="17425F4D" w:rsidR="008606A9" w:rsidRPr="008606A9" w:rsidRDefault="008606A9" w:rsidP="00EE5A3A">
            <w:r w:rsidRPr="008606A9">
              <w:rPr>
                <w:noProof/>
              </w:rPr>
              <w:drawing>
                <wp:inline distT="0" distB="0" distL="0" distR="0" wp14:anchorId="684EB80E" wp14:editId="2EF7DBEF">
                  <wp:extent cx="1876687" cy="1524213"/>
                  <wp:effectExtent l="0" t="0" r="9525" b="0"/>
                  <wp:docPr id="13313527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2762" name=""/>
                          <pic:cNvPicPr/>
                        </pic:nvPicPr>
                        <pic:blipFill>
                          <a:blip r:embed="rId33"/>
                          <a:stretch>
                            <a:fillRect/>
                          </a:stretch>
                        </pic:blipFill>
                        <pic:spPr>
                          <a:xfrm>
                            <a:off x="0" y="0"/>
                            <a:ext cx="1876687" cy="1524213"/>
                          </a:xfrm>
                          <a:prstGeom prst="rect">
                            <a:avLst/>
                          </a:prstGeom>
                        </pic:spPr>
                      </pic:pic>
                    </a:graphicData>
                  </a:graphic>
                </wp:inline>
              </w:drawing>
            </w:r>
          </w:p>
        </w:tc>
        <w:tc>
          <w:tcPr>
            <w:tcW w:w="3110" w:type="dxa"/>
            <w:tcBorders>
              <w:top w:val="nil"/>
              <w:left w:val="nil"/>
              <w:bottom w:val="nil"/>
              <w:right w:val="nil"/>
            </w:tcBorders>
          </w:tcPr>
          <w:p w14:paraId="6D22CC5F" w14:textId="24884E6B" w:rsidR="008606A9" w:rsidRPr="008606A9" w:rsidRDefault="008606A9" w:rsidP="00EE5A3A">
            <w:r w:rsidRPr="008606A9">
              <w:rPr>
                <w:noProof/>
              </w:rPr>
              <w:drawing>
                <wp:inline distT="0" distB="0" distL="0" distR="0" wp14:anchorId="1C35369D" wp14:editId="791325F2">
                  <wp:extent cx="1485900" cy="1538266"/>
                  <wp:effectExtent l="0" t="0" r="0" b="5080"/>
                  <wp:docPr id="78585504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5041" name=""/>
                          <pic:cNvPicPr/>
                        </pic:nvPicPr>
                        <pic:blipFill>
                          <a:blip r:embed="rId34"/>
                          <a:stretch>
                            <a:fillRect/>
                          </a:stretch>
                        </pic:blipFill>
                        <pic:spPr>
                          <a:xfrm>
                            <a:off x="0" y="0"/>
                            <a:ext cx="1492394" cy="1544989"/>
                          </a:xfrm>
                          <a:prstGeom prst="rect">
                            <a:avLst/>
                          </a:prstGeom>
                        </pic:spPr>
                      </pic:pic>
                    </a:graphicData>
                  </a:graphic>
                </wp:inline>
              </w:drawing>
            </w:r>
          </w:p>
        </w:tc>
      </w:tr>
    </w:tbl>
    <w:p w14:paraId="788382F1" w14:textId="64C5E72C" w:rsidR="008606A9" w:rsidRPr="008606A9" w:rsidRDefault="008606A9" w:rsidP="008606A9">
      <w:pPr>
        <w:rPr>
          <w:lang w:val="sv-SE"/>
        </w:rPr>
      </w:pPr>
    </w:p>
    <w:p w14:paraId="4CA7A319" w14:textId="77777777" w:rsidR="00457F16" w:rsidRDefault="00457F16" w:rsidP="00457F16">
      <w:pPr>
        <w:pStyle w:val="Overskrift3"/>
      </w:pPr>
      <w:r>
        <w:t xml:space="preserve">Sykkelfelt i kryss med enveisregulert </w:t>
      </w:r>
      <w:r w:rsidRPr="002B2740">
        <w:t>sykkelveg</w:t>
      </w:r>
      <w:r w:rsidRPr="00FB6AB9">
        <w:rPr>
          <w:rStyle w:val="KommentarTegn1"/>
          <w:rFonts w:eastAsiaTheme="majorEastAsia"/>
        </w:rPr>
        <w:t xml:space="preserve"> </w:t>
      </w:r>
    </w:p>
    <w:tbl>
      <w:tblPr>
        <w:tblW w:w="9072" w:type="dxa"/>
        <w:tblCellMar>
          <w:left w:w="70" w:type="dxa"/>
          <w:right w:w="70" w:type="dxa"/>
        </w:tblCellMar>
        <w:tblLook w:val="04A0" w:firstRow="1" w:lastRow="0" w:firstColumn="1" w:lastColumn="0" w:noHBand="0" w:noVBand="1"/>
      </w:tblPr>
      <w:tblGrid>
        <w:gridCol w:w="9072"/>
      </w:tblGrid>
      <w:tr w:rsidR="00457F16" w:rsidRPr="00886744" w14:paraId="79F65D49" w14:textId="77777777" w:rsidTr="00E55F06">
        <w:trPr>
          <w:trHeight w:val="300"/>
        </w:trPr>
        <w:tc>
          <w:tcPr>
            <w:tcW w:w="9072" w:type="dxa"/>
            <w:tcBorders>
              <w:top w:val="nil"/>
              <w:left w:val="nil"/>
              <w:bottom w:val="nil"/>
              <w:right w:val="nil"/>
            </w:tcBorders>
            <w:shd w:val="clear" w:color="auto" w:fill="D9D9D9" w:themeFill="background1" w:themeFillShade="D9"/>
            <w:noWrap/>
            <w:vAlign w:val="bottom"/>
          </w:tcPr>
          <w:p w14:paraId="5628E56D" w14:textId="77777777" w:rsidR="00457F16" w:rsidRPr="00886744" w:rsidRDefault="00457F16" w:rsidP="00E55F06">
            <w:r>
              <w:t xml:space="preserve">Enveisregulert sykkelveg skal i Norge rampes ned til sykkelfelt før kryss, med en anbefalt lengden på </w:t>
            </w:r>
            <w:proofErr w:type="spellStart"/>
            <w:r>
              <w:t>nedrampingen</w:t>
            </w:r>
            <w:proofErr w:type="spellEnd"/>
            <w:r>
              <w:t xml:space="preserve"> på 5 meter (V122).</w:t>
            </w:r>
          </w:p>
        </w:tc>
      </w:tr>
    </w:tbl>
    <w:p w14:paraId="7B65BFCA" w14:textId="77777777" w:rsidR="00457F16" w:rsidRDefault="00457F16" w:rsidP="00457F16">
      <w:r>
        <w:t>To eldre danske studier har sammenlignet «</w:t>
      </w:r>
      <w:proofErr w:type="spellStart"/>
      <w:r>
        <w:t>avbrudt</w:t>
      </w:r>
      <w:proofErr w:type="spellEnd"/>
      <w:r>
        <w:t xml:space="preserve"> cykelsti» i kryss, som ligner på den norske standardløsningen (enveisregulert sykkelveg på strekning, sykkelfelt i kryss), med en gjennomgående sykkelveg i vikepliktsregulerte kryss </w:t>
      </w:r>
      <w:r w:rsidRPr="00581492">
        <w:t>(</w:t>
      </w:r>
      <w:bookmarkStart w:id="64" w:name="_Hlk198216608"/>
      <w:proofErr w:type="spellStart"/>
      <w:r w:rsidRPr="00581492">
        <w:t>Pfeifer</w:t>
      </w:r>
      <w:proofErr w:type="spellEnd"/>
      <w:r w:rsidRPr="00581492">
        <w:t>, 1999; Jensen &amp; Nielsen, 1999</w:t>
      </w:r>
      <w:bookmarkEnd w:id="64"/>
      <w:r w:rsidRPr="00581492">
        <w:t>)</w:t>
      </w:r>
      <w:r>
        <w:t xml:space="preserve">. Sammenlagt viser resultatene en reduksjon av antall sykkelulykker på 32 prosent (-55; +4). </w:t>
      </w:r>
    </w:p>
    <w:p w14:paraId="32F30CB4" w14:textId="45907B39" w:rsidR="0080718D" w:rsidRPr="00A756A9" w:rsidRDefault="00E94043" w:rsidP="0080718D">
      <w:pPr>
        <w:pStyle w:val="Overskrift3"/>
      </w:pPr>
      <w:r w:rsidRPr="00A756A9">
        <w:lastRenderedPageBreak/>
        <w:t>Opphøyd sykkelkryssing</w:t>
      </w:r>
      <w:r w:rsidR="00FB6AB9" w:rsidRPr="00A756A9">
        <w:rPr>
          <w:rStyle w:val="KommentarTegn1"/>
          <w:rFonts w:eastAsiaTheme="majorEastAsia"/>
        </w:rPr>
        <w:t xml:space="preserve"> </w:t>
      </w:r>
    </w:p>
    <w:p w14:paraId="55715DBF" w14:textId="247C67C2" w:rsidR="007E3CFB" w:rsidRDefault="007E3CFB" w:rsidP="008640EC">
      <w:r>
        <w:t xml:space="preserve">Opphøyd sykkelkryssing betyr at et sykkelfelt </w:t>
      </w:r>
      <w:r w:rsidR="00466825">
        <w:t xml:space="preserve">eller sykkelveg </w:t>
      </w:r>
      <w:r>
        <w:t xml:space="preserve">i </w:t>
      </w:r>
      <w:r w:rsidR="00466825">
        <w:t xml:space="preserve">ett </w:t>
      </w:r>
      <w:r>
        <w:t xml:space="preserve">kryss er utformet som en bred fartshump over sidevegen (samme prinsipp som opphøyd gangfelt). På strekningen kan det være enten sykkelfelt eller sykkelveg (dobbeltrettet eller enveisregulert). </w:t>
      </w:r>
      <w:r w:rsidR="002061CD">
        <w:t>Opphøyd sykkelkryssing kan kun brukes der kryssende trafikk har vikeplikt for syklistene på sykkelvegen</w:t>
      </w:r>
      <w:r>
        <w:t xml:space="preserve">. </w:t>
      </w:r>
    </w:p>
    <w:p w14:paraId="6A46B877" w14:textId="77777777" w:rsidR="007E3CFB" w:rsidRDefault="007E3CFB" w:rsidP="007E3CFB">
      <w:r w:rsidRPr="00581492">
        <w:t>Virkningen på sykkelulykker er undersøkt av</w:t>
      </w:r>
      <w:r>
        <w:t>:</w:t>
      </w:r>
      <w:r w:rsidRPr="00581492">
        <w:t xml:space="preserve"> </w:t>
      </w:r>
    </w:p>
    <w:p w14:paraId="361FAB7C" w14:textId="77777777" w:rsidR="007E3CFB" w:rsidRPr="0055128F" w:rsidRDefault="007E3CFB" w:rsidP="007E3CFB">
      <w:pPr>
        <w:ind w:left="426"/>
        <w:rPr>
          <w:color w:val="0070C0"/>
          <w:lang w:val="da-DK"/>
        </w:rPr>
      </w:pPr>
      <w:bookmarkStart w:id="65" w:name="_Hlk198216617"/>
      <w:proofErr w:type="spellStart"/>
      <w:r w:rsidRPr="0055128F">
        <w:rPr>
          <w:lang w:val="da-DK"/>
        </w:rPr>
        <w:t>Gårder</w:t>
      </w:r>
      <w:proofErr w:type="spellEnd"/>
      <w:r w:rsidRPr="0055128F">
        <w:rPr>
          <w:lang w:val="da-DK"/>
        </w:rPr>
        <w:t xml:space="preserve"> et al., 1998 (Sverige)</w:t>
      </w:r>
      <w:r w:rsidRPr="0055128F">
        <w:rPr>
          <w:lang w:val="da-DK"/>
        </w:rPr>
        <w:br/>
        <w:t>Jensen, 2006b (Danmark)</w:t>
      </w:r>
      <w:r w:rsidRPr="0055128F">
        <w:rPr>
          <w:lang w:val="da-DK"/>
        </w:rPr>
        <w:br/>
      </w:r>
      <w:proofErr w:type="spellStart"/>
      <w:r w:rsidRPr="0055128F">
        <w:rPr>
          <w:lang w:val="da-DK"/>
        </w:rPr>
        <w:t>Schepers</w:t>
      </w:r>
      <w:proofErr w:type="spellEnd"/>
      <w:r w:rsidRPr="0055128F">
        <w:rPr>
          <w:lang w:val="da-DK"/>
        </w:rPr>
        <w:t xml:space="preserve"> et al., 2011 (Nederland)</w:t>
      </w:r>
      <w:r w:rsidRPr="0055128F">
        <w:rPr>
          <w:rStyle w:val="KommentarTegn1"/>
          <w:rFonts w:eastAsiaTheme="minorHAnsi"/>
          <w:color w:val="00B0F0"/>
          <w:lang w:val="da-DK"/>
        </w:rPr>
        <w:t xml:space="preserve"> </w:t>
      </w:r>
      <w:bookmarkEnd w:id="65"/>
    </w:p>
    <w:p w14:paraId="5FB200E1" w14:textId="6A810536" w:rsidR="00180BD4" w:rsidRDefault="00180BD4" w:rsidP="00180BD4">
      <w:r>
        <w:t>Sammenlagt viser resultatene at både ulykker er redusert med 30 prosent</w:t>
      </w:r>
      <w:r w:rsidR="00281ABF">
        <w:t xml:space="preserve"> (-47; -7)</w:t>
      </w:r>
      <w:r>
        <w:t>.</w:t>
      </w:r>
      <w:r w:rsidR="00281ABF">
        <w:t xml:space="preserve"> Dette gjelder både det totale antall ulykker og antall sykkelulykker (virkningene er nesten identiske). </w:t>
      </w:r>
      <w:r>
        <w:t xml:space="preserve"> </w:t>
      </w:r>
    </w:p>
    <w:p w14:paraId="0AFEC2C9" w14:textId="5E1CC84E" w:rsidR="008640EC" w:rsidRDefault="008640EC" w:rsidP="008640EC">
      <w:r>
        <w:t xml:space="preserve">En svensk studie </w:t>
      </w:r>
      <w:r w:rsidR="00281ABF">
        <w:t xml:space="preserve">av opphøyd </w:t>
      </w:r>
      <w:r w:rsidR="00151A5B">
        <w:t>sykkelkryssing</w:t>
      </w:r>
      <w:r w:rsidR="00281ABF">
        <w:t xml:space="preserve"> </w:t>
      </w:r>
      <w:r>
        <w:t>viser at dette reduserer bilenes fart, mens syklistenes fart øker</w:t>
      </w:r>
      <w:r w:rsidR="00E932A3">
        <w:t xml:space="preserve"> (</w:t>
      </w:r>
      <w:bookmarkStart w:id="66" w:name="_Hlk198216625"/>
      <w:r w:rsidR="00E932A3">
        <w:t>Leden et al., 2000)</w:t>
      </w:r>
      <w:r>
        <w:t>.</w:t>
      </w:r>
      <w:bookmarkEnd w:id="66"/>
      <w:r w:rsidR="00E932A3">
        <w:t xml:space="preserve"> Bilene på sidevegen har i denne studien vikeplikt for syklistene på sykkelvegen.</w:t>
      </w:r>
      <w:r>
        <w:t xml:space="preserve"> I sum tyder resultatene likevel på at sikkerheten for syklister er forbedret. </w:t>
      </w:r>
    </w:p>
    <w:p w14:paraId="34932458" w14:textId="12648BF9" w:rsidR="00457F16" w:rsidRDefault="00457F16" w:rsidP="002B2740">
      <w:pPr>
        <w:pStyle w:val="Overskrift3"/>
      </w:pPr>
      <w:r>
        <w:t>Supplerende oppmerking på sykkelfelt i kryss</w:t>
      </w:r>
    </w:p>
    <w:p w14:paraId="49695BFA" w14:textId="0AF60A5E" w:rsidR="00457F16" w:rsidRDefault="00457F16" w:rsidP="00457F16">
      <w:r>
        <w:t>Noen studier fra andre land har undersøkt virkningen av supplerende oppmerking som f.eks. harlekinmønster eller sykkelsymbol på sykkelfelt i</w:t>
      </w:r>
      <w:r w:rsidR="001C408C">
        <w:t xml:space="preserve"> vikepliktsregulerte </w:t>
      </w:r>
      <w:r>
        <w:t xml:space="preserve">kryss. På strekningen kan det være enten sykkelfelt eller sykkelveg (dobbeltrettet eller enveisregulert). Slik oppmerking er ikke beskrevet i V122. </w:t>
      </w:r>
    </w:p>
    <w:p w14:paraId="30707B75" w14:textId="77777777" w:rsidR="00457F16" w:rsidRDefault="00457F16" w:rsidP="00457F16">
      <w:r w:rsidRPr="00581492">
        <w:t>Virkningen på sykkelulykker er undersøkt av</w:t>
      </w:r>
      <w:r>
        <w:t>:</w:t>
      </w:r>
      <w:r w:rsidRPr="00581492">
        <w:t xml:space="preserve"> </w:t>
      </w:r>
    </w:p>
    <w:p w14:paraId="663D0102" w14:textId="77777777" w:rsidR="00457F16" w:rsidRDefault="00457F16" w:rsidP="00457F16">
      <w:pPr>
        <w:ind w:left="426"/>
        <w:rPr>
          <w:rStyle w:val="KommentarTegn1"/>
          <w:rFonts w:eastAsiaTheme="minorHAnsi"/>
          <w:color w:val="00B0F0"/>
          <w:lang w:val="da-DK"/>
        </w:rPr>
      </w:pPr>
      <w:bookmarkStart w:id="67" w:name="_Hlk198216632"/>
      <w:r w:rsidRPr="007E3CFB">
        <w:rPr>
          <w:lang w:val="da-DK"/>
        </w:rPr>
        <w:t>Gårder et al., 1998 (Sverige)</w:t>
      </w:r>
      <w:r>
        <w:rPr>
          <w:lang w:val="da-DK"/>
        </w:rPr>
        <w:br/>
      </w:r>
      <w:r w:rsidRPr="007E3CFB">
        <w:rPr>
          <w:lang w:val="da-DK"/>
        </w:rPr>
        <w:t>Jensen, 2006b (Danmark)</w:t>
      </w:r>
      <w:r>
        <w:rPr>
          <w:lang w:val="da-DK"/>
        </w:rPr>
        <w:br/>
      </w:r>
      <w:r w:rsidRPr="007E3CFB">
        <w:rPr>
          <w:lang w:val="da-DK"/>
        </w:rPr>
        <w:t>Schepers et al., 2011 (Nederland)</w:t>
      </w:r>
      <w:r w:rsidRPr="007E3CFB">
        <w:rPr>
          <w:rStyle w:val="KommentarTegn1"/>
          <w:rFonts w:eastAsiaTheme="minorHAnsi"/>
          <w:color w:val="00B0F0"/>
          <w:lang w:val="da-DK"/>
        </w:rPr>
        <w:t xml:space="preserve"> </w:t>
      </w:r>
      <w:bookmarkEnd w:id="67"/>
    </w:p>
    <w:p w14:paraId="6B404E1D" w14:textId="6D6C890A" w:rsidR="001C408C" w:rsidRPr="001C408C" w:rsidRDefault="001C408C" w:rsidP="001C408C">
      <w:r w:rsidRPr="001C408C">
        <w:t>Sammenlagt viser resultatene en ikke-si</w:t>
      </w:r>
      <w:r>
        <w:t xml:space="preserve">gnifikant reduksjon av antall sykkelulykker i kryss på 19 prosent </w:t>
      </w:r>
      <w:r w:rsidRPr="001C408C">
        <w:t>(-41; 13)</w:t>
      </w:r>
      <w:r>
        <w:t xml:space="preserve">. </w:t>
      </w:r>
    </w:p>
    <w:p w14:paraId="6AA58304" w14:textId="0ED1A4EA" w:rsidR="00BE30CB" w:rsidRDefault="00BC7F0F" w:rsidP="00457F16">
      <w:pPr>
        <w:pStyle w:val="Overskrift2"/>
      </w:pPr>
      <w:bookmarkStart w:id="68" w:name="_Toc206753751"/>
      <w:r w:rsidRPr="00BC7F0F">
        <w:t xml:space="preserve">Kryssing mellom veg </w:t>
      </w:r>
      <w:r>
        <w:t xml:space="preserve">og </w:t>
      </w:r>
      <w:r w:rsidRPr="00BC7F0F">
        <w:t xml:space="preserve">sykkelveg </w:t>
      </w:r>
      <w:r>
        <w:t xml:space="preserve">eller GS-veg </w:t>
      </w:r>
      <w:r w:rsidRPr="00BC7F0F">
        <w:t>i s</w:t>
      </w:r>
      <w:r w:rsidR="00BE30CB" w:rsidRPr="00BC7F0F">
        <w:t>ignalregulerte kryss</w:t>
      </w:r>
      <w:r w:rsidRPr="00BC7F0F">
        <w:t xml:space="preserve"> (avsnitt 4.2 i V122)</w:t>
      </w:r>
      <w:bookmarkEnd w:id="68"/>
    </w:p>
    <w:tbl>
      <w:tblPr>
        <w:tblW w:w="9070" w:type="dxa"/>
        <w:tblCellMar>
          <w:left w:w="70" w:type="dxa"/>
          <w:right w:w="70" w:type="dxa"/>
        </w:tblCellMar>
        <w:tblLook w:val="04A0" w:firstRow="1" w:lastRow="0" w:firstColumn="1" w:lastColumn="0" w:noHBand="0" w:noVBand="1"/>
      </w:tblPr>
      <w:tblGrid>
        <w:gridCol w:w="5245"/>
        <w:gridCol w:w="3825"/>
      </w:tblGrid>
      <w:tr w:rsidR="00BC7F0F" w:rsidRPr="00886744" w14:paraId="0FA2C7CA" w14:textId="40C56E28" w:rsidTr="00BC7F0F">
        <w:trPr>
          <w:trHeight w:val="300"/>
        </w:trPr>
        <w:tc>
          <w:tcPr>
            <w:tcW w:w="5245" w:type="dxa"/>
            <w:tcBorders>
              <w:top w:val="nil"/>
              <w:left w:val="nil"/>
              <w:bottom w:val="nil"/>
              <w:right w:val="nil"/>
            </w:tcBorders>
            <w:shd w:val="clear" w:color="auto" w:fill="D9D9D9" w:themeFill="background1" w:themeFillShade="D9"/>
            <w:noWrap/>
          </w:tcPr>
          <w:p w14:paraId="3F32819A" w14:textId="7036258E" w:rsidR="00BC7F0F" w:rsidRPr="00886744" w:rsidRDefault="00BC7F0F" w:rsidP="004876A6">
            <w:r>
              <w:t xml:space="preserve">I signalregulerte kryss med sykkelveg eller GS-veg forutsettes i </w:t>
            </w:r>
            <w:proofErr w:type="spellStart"/>
            <w:r>
              <w:t>hht</w:t>
            </w:r>
            <w:proofErr w:type="spellEnd"/>
            <w:r>
              <w:t xml:space="preserve">. V122 at gående og syklende krysser vegen konfliktfritt når signalene er i drift. Siden syklister har vikeplikt for trafikk på den kryssende veien, skal det benyttes oppmerket sykkelkryssing gjennom kryssene. Figur t.h. fra V122. </w:t>
            </w:r>
          </w:p>
        </w:tc>
        <w:tc>
          <w:tcPr>
            <w:tcW w:w="3825" w:type="dxa"/>
            <w:tcBorders>
              <w:top w:val="nil"/>
              <w:left w:val="nil"/>
              <w:bottom w:val="nil"/>
              <w:right w:val="nil"/>
            </w:tcBorders>
            <w:shd w:val="clear" w:color="auto" w:fill="D9D9D9" w:themeFill="background1" w:themeFillShade="D9"/>
          </w:tcPr>
          <w:p w14:paraId="711FBF75" w14:textId="47F24368" w:rsidR="00BC7F0F" w:rsidRDefault="00BC7F0F" w:rsidP="00BC7F0F">
            <w:r w:rsidRPr="00BC7F0F">
              <w:rPr>
                <w:noProof/>
              </w:rPr>
              <w:drawing>
                <wp:inline distT="0" distB="0" distL="0" distR="0" wp14:anchorId="3410D48F" wp14:editId="6940FE28">
                  <wp:extent cx="2027398" cy="1847850"/>
                  <wp:effectExtent l="0" t="0" r="0" b="0"/>
                  <wp:docPr id="19657301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30167" name=""/>
                          <pic:cNvPicPr/>
                        </pic:nvPicPr>
                        <pic:blipFill>
                          <a:blip r:embed="rId35"/>
                          <a:stretch>
                            <a:fillRect/>
                          </a:stretch>
                        </pic:blipFill>
                        <pic:spPr>
                          <a:xfrm>
                            <a:off x="0" y="0"/>
                            <a:ext cx="2031683" cy="1851756"/>
                          </a:xfrm>
                          <a:prstGeom prst="rect">
                            <a:avLst/>
                          </a:prstGeom>
                        </pic:spPr>
                      </pic:pic>
                    </a:graphicData>
                  </a:graphic>
                </wp:inline>
              </w:drawing>
            </w:r>
          </w:p>
        </w:tc>
      </w:tr>
    </w:tbl>
    <w:p w14:paraId="7939F32A" w14:textId="77777777" w:rsidR="00BC7F0F" w:rsidRPr="00BC7F0F" w:rsidRDefault="00BC7F0F" w:rsidP="00BC7F0F"/>
    <w:p w14:paraId="6AA0202B" w14:textId="2FBE6ED5" w:rsidR="00BE30CB" w:rsidRPr="006F1161" w:rsidRDefault="00BE30CB" w:rsidP="006F1161">
      <w:pPr>
        <w:pStyle w:val="Overskrift2"/>
      </w:pPr>
      <w:bookmarkStart w:id="69" w:name="_Toc206753752"/>
      <w:r w:rsidRPr="006F1161">
        <w:lastRenderedPageBreak/>
        <w:t>Rundkjøring (avsnitt 4.3 i V122)</w:t>
      </w:r>
      <w:bookmarkEnd w:id="69"/>
    </w:p>
    <w:tbl>
      <w:tblPr>
        <w:tblW w:w="9072" w:type="dxa"/>
        <w:tblCellMar>
          <w:left w:w="70" w:type="dxa"/>
          <w:right w:w="70" w:type="dxa"/>
        </w:tblCellMar>
        <w:tblLook w:val="04A0" w:firstRow="1" w:lastRow="0" w:firstColumn="1" w:lastColumn="0" w:noHBand="0" w:noVBand="1"/>
      </w:tblPr>
      <w:tblGrid>
        <w:gridCol w:w="9072"/>
      </w:tblGrid>
      <w:tr w:rsidR="00E73DDD" w:rsidRPr="00886744" w14:paraId="56745186"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4DF1F5ED" w14:textId="0F1D9929" w:rsidR="00E73DDD" w:rsidRPr="00886744" w:rsidRDefault="004B7B05" w:rsidP="002A7978">
            <w:r>
              <w:t xml:space="preserve">Utforming av rundkjøringer og løsninger for syklister i rundkjøringer er beskrevet i N100. </w:t>
            </w:r>
          </w:p>
        </w:tc>
      </w:tr>
    </w:tbl>
    <w:p w14:paraId="1DC81515" w14:textId="6007E26A" w:rsidR="004B7B05" w:rsidRDefault="004B7B05" w:rsidP="004B7B05">
      <w:r>
        <w:t xml:space="preserve">Hvordan rundkjøringer og utformingen av rundkjøringer påvirker trafikksikkerheten for syklister, er beskrevet i </w:t>
      </w:r>
      <w:hyperlink r:id="rId36" w:history="1">
        <w:r w:rsidRPr="004B7B05">
          <w:rPr>
            <w:rStyle w:val="Hyperkobling"/>
          </w:rPr>
          <w:t>kapittel 1.6 Rundkjøringer</w:t>
        </w:r>
      </w:hyperlink>
      <w:r>
        <w:t xml:space="preserve">. </w:t>
      </w:r>
    </w:p>
    <w:p w14:paraId="39715ECB" w14:textId="4DB7865A" w:rsidR="00BE30CB" w:rsidRPr="006F1161" w:rsidRDefault="00BE30CB" w:rsidP="006F1161">
      <w:pPr>
        <w:pStyle w:val="Overskrift2"/>
      </w:pPr>
      <w:bookmarkStart w:id="70" w:name="_Toc206753753"/>
      <w:r w:rsidRPr="006F1161">
        <w:t>Planskilte kryss (avsnitt 4.4 i V122)</w:t>
      </w:r>
      <w:bookmarkEnd w:id="70"/>
    </w:p>
    <w:tbl>
      <w:tblPr>
        <w:tblW w:w="9072" w:type="dxa"/>
        <w:tblCellMar>
          <w:left w:w="70" w:type="dxa"/>
          <w:right w:w="70" w:type="dxa"/>
        </w:tblCellMar>
        <w:tblLook w:val="04A0" w:firstRow="1" w:lastRow="0" w:firstColumn="1" w:lastColumn="0" w:noHBand="0" w:noVBand="1"/>
      </w:tblPr>
      <w:tblGrid>
        <w:gridCol w:w="9072"/>
      </w:tblGrid>
      <w:tr w:rsidR="00E73DDD" w:rsidRPr="00886744" w14:paraId="3B11C996"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221281FF" w14:textId="231424CA" w:rsidR="00E73DDD" w:rsidRPr="00886744" w:rsidRDefault="004B7B05" w:rsidP="002A7978">
            <w:r>
              <w:t xml:space="preserve">Planskilte kryssinger kan være broer og underganger. Hvor slike kryssinger kan installeres, samt krav til utformingen, er beskrevet i N100 og i N400 (Bruprosjektering). Generelt gjelder at broer og underganger for gående og syklende bør medføre minst mulig omveier og høydeforskjeller, samt at underganger bør være lyse og rommelige. </w:t>
            </w:r>
          </w:p>
        </w:tc>
      </w:tr>
    </w:tbl>
    <w:p w14:paraId="4F4B59E9" w14:textId="77777777" w:rsidR="00A86BC0" w:rsidRDefault="00A86BC0" w:rsidP="00A86BC0">
      <w:r>
        <w:t xml:space="preserve">Planskilte krysningsmuligheter bør i teorien ha lavere risiko for syklister da det ikke er konfliktmuligheter mellom syklister og motorkjøretøy. </w:t>
      </w:r>
    </w:p>
    <w:p w14:paraId="4D4E581A" w14:textId="2D205DB4" w:rsidR="00BE30CB" w:rsidRDefault="00A86BC0" w:rsidP="00A86BC0">
      <w:bookmarkStart w:id="71" w:name="_Hlk198216641"/>
      <w:r>
        <w:t>Daniels et al. (2009</w:t>
      </w:r>
      <w:bookmarkEnd w:id="71"/>
      <w:r>
        <w:t xml:space="preserve">) viser at planskilte løsninger for syklister ved rundkjøringer forbedrer sikkerheten. Utover dette er det ikke funnet studier som har undersøkt virkninger på ulykker. Virkningen vil i praksis uansett avhenge av hvorvidt den planskilte kryssingen faktisk blir brukt, samt risikoen på kryssingen. Brukes krysningen ikke, f.eks. fordi den oppleves som en for stor ulempe eller som utrygt av andre grunner, kan dette øke risikoen for de syklistene som velger andre krysningssteder. </w:t>
      </w:r>
      <w:r w:rsidR="005D0B45">
        <w:t xml:space="preserve">På tunneler og i underganger avhenger risikoen bl.a. av konfliktmuligheter mellom syklister eller mellom fotgjengere og syklister, samt den geometriske utformingen. Her er det især bredden, ev. separering mellom fotgjengere og syklister, samt linjeføringen som er relevante. </w:t>
      </w:r>
    </w:p>
    <w:p w14:paraId="5196CCCA" w14:textId="133D82A0" w:rsidR="00BE30CB" w:rsidRPr="006F1161" w:rsidRDefault="00BE30CB" w:rsidP="006F1161">
      <w:pPr>
        <w:pStyle w:val="Overskrift2"/>
      </w:pPr>
      <w:bookmarkStart w:id="72" w:name="_Toc206753754"/>
      <w:r w:rsidRPr="006F1161">
        <w:t xml:space="preserve">Kryss mellom </w:t>
      </w:r>
      <w:r w:rsidR="004B7B05">
        <w:t>sykkelveger eller GS-veger</w:t>
      </w:r>
      <w:r w:rsidRPr="006F1161">
        <w:t xml:space="preserve"> (avsnitt 4.5 i V122)</w:t>
      </w:r>
      <w:bookmarkEnd w:id="72"/>
    </w:p>
    <w:tbl>
      <w:tblPr>
        <w:tblW w:w="9072" w:type="dxa"/>
        <w:tblCellMar>
          <w:left w:w="70" w:type="dxa"/>
          <w:right w:w="70" w:type="dxa"/>
        </w:tblCellMar>
        <w:tblLook w:val="04A0" w:firstRow="1" w:lastRow="0" w:firstColumn="1" w:lastColumn="0" w:noHBand="0" w:noVBand="1"/>
      </w:tblPr>
      <w:tblGrid>
        <w:gridCol w:w="9072"/>
      </w:tblGrid>
      <w:tr w:rsidR="00E73DDD" w:rsidRPr="00886744" w14:paraId="05D04B8E"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46D21DDC" w14:textId="7231AD9A" w:rsidR="00E73DDD" w:rsidRPr="00886744" w:rsidRDefault="004B7B05" w:rsidP="002A7978">
            <w:r>
              <w:t xml:space="preserve">Kryss mellom to sykkelveger eller GS-veger er i </w:t>
            </w:r>
            <w:proofErr w:type="spellStart"/>
            <w:r>
              <w:t>hht</w:t>
            </w:r>
            <w:proofErr w:type="spellEnd"/>
            <w:r>
              <w:t xml:space="preserve">. V122 som regel høyreregulert, men de kan være forkjørsregulert. </w:t>
            </w:r>
          </w:p>
        </w:tc>
      </w:tr>
    </w:tbl>
    <w:p w14:paraId="213B3814" w14:textId="6DAB9572" w:rsidR="00BE30CB" w:rsidRPr="006F1161" w:rsidRDefault="00BE30CB" w:rsidP="006F1161">
      <w:pPr>
        <w:pStyle w:val="Overskrift2"/>
      </w:pPr>
      <w:bookmarkStart w:id="73" w:name="_Toc206753755"/>
      <w:r w:rsidRPr="006F1161">
        <w:t>Systemskifter (avsnitt 4.6 i V122)</w:t>
      </w:r>
      <w:bookmarkEnd w:id="73"/>
    </w:p>
    <w:tbl>
      <w:tblPr>
        <w:tblW w:w="9072" w:type="dxa"/>
        <w:tblCellMar>
          <w:left w:w="70" w:type="dxa"/>
          <w:right w:w="70" w:type="dxa"/>
        </w:tblCellMar>
        <w:tblLook w:val="04A0" w:firstRow="1" w:lastRow="0" w:firstColumn="1" w:lastColumn="0" w:noHBand="0" w:noVBand="1"/>
      </w:tblPr>
      <w:tblGrid>
        <w:gridCol w:w="9072"/>
      </w:tblGrid>
      <w:tr w:rsidR="00E73DDD" w:rsidRPr="00886744" w14:paraId="744814FD"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0F5CC040" w14:textId="1658E964" w:rsidR="00E73DDD" w:rsidRPr="00886744" w:rsidRDefault="004B7B05" w:rsidP="002A7978">
            <w:r w:rsidRPr="004B7B05">
              <w:t xml:space="preserve">Systemskifter mellom ulike løsninger bør </w:t>
            </w:r>
            <w:r>
              <w:t xml:space="preserve">i </w:t>
            </w:r>
            <w:proofErr w:type="spellStart"/>
            <w:r>
              <w:t>hht</w:t>
            </w:r>
            <w:proofErr w:type="spellEnd"/>
            <w:r>
              <w:t xml:space="preserve">. V122 </w:t>
            </w:r>
            <w:r w:rsidRPr="004B7B05">
              <w:t>fortrinnsvis plasseres i kryss.</w:t>
            </w:r>
            <w:r>
              <w:t xml:space="preserve"> Utformingen av ulike typer systemskifter er beskrevet i V122 både for signalregulerte kryss og for rundkjøringer. </w:t>
            </w:r>
          </w:p>
        </w:tc>
      </w:tr>
    </w:tbl>
    <w:p w14:paraId="340FC346" w14:textId="696D434C" w:rsidR="00BE30CB" w:rsidRPr="006F1161" w:rsidRDefault="00BE30CB" w:rsidP="006F1161">
      <w:pPr>
        <w:pStyle w:val="Overskrift2"/>
      </w:pPr>
      <w:bookmarkStart w:id="74" w:name="_Toc206753756"/>
      <w:r w:rsidRPr="006F1161">
        <w:t>Sikt (avsnitt 4.7 i V122)</w:t>
      </w:r>
      <w:bookmarkEnd w:id="74"/>
    </w:p>
    <w:tbl>
      <w:tblPr>
        <w:tblW w:w="9072" w:type="dxa"/>
        <w:tblCellMar>
          <w:left w:w="70" w:type="dxa"/>
          <w:right w:w="70" w:type="dxa"/>
        </w:tblCellMar>
        <w:tblLook w:val="04A0" w:firstRow="1" w:lastRow="0" w:firstColumn="1" w:lastColumn="0" w:noHBand="0" w:noVBand="1"/>
      </w:tblPr>
      <w:tblGrid>
        <w:gridCol w:w="9072"/>
      </w:tblGrid>
      <w:tr w:rsidR="00E73DDD" w:rsidRPr="00886744" w14:paraId="2A0F9225" w14:textId="77777777" w:rsidTr="002A7978">
        <w:trPr>
          <w:trHeight w:val="300"/>
        </w:trPr>
        <w:tc>
          <w:tcPr>
            <w:tcW w:w="9072" w:type="dxa"/>
            <w:tcBorders>
              <w:top w:val="nil"/>
              <w:left w:val="nil"/>
              <w:bottom w:val="nil"/>
              <w:right w:val="nil"/>
            </w:tcBorders>
            <w:shd w:val="clear" w:color="auto" w:fill="D9D9D9" w:themeFill="background1" w:themeFillShade="D9"/>
            <w:noWrap/>
            <w:vAlign w:val="bottom"/>
          </w:tcPr>
          <w:p w14:paraId="371E8CE2" w14:textId="4204BC60" w:rsidR="00E73DDD" w:rsidRPr="00886744" w:rsidRDefault="001D744E" w:rsidP="002A7978">
            <w:r>
              <w:t xml:space="preserve">Siktkrav i kryss er beskrevet i N100. </w:t>
            </w:r>
          </w:p>
        </w:tc>
      </w:tr>
    </w:tbl>
    <w:p w14:paraId="04E861F1" w14:textId="755BAA7A" w:rsidR="00DA6DF9" w:rsidRDefault="00DA6DF9" w:rsidP="00DA6DF9">
      <w:r w:rsidRPr="00CF1CAB">
        <w:t>Mange sykkelulykker skjer fordi syklister ble oversett av andre trafikanter, ofte på steder med vanskelige siktforhold. En studie i åtte europeiske land viser at er dette en medvirkende faktor i omtrent halvparten av alle alvorlige sykkelulykkene (</w:t>
      </w:r>
      <w:bookmarkStart w:id="75" w:name="_Hlk198216649"/>
      <w:proofErr w:type="spellStart"/>
      <w:r w:rsidRPr="00CF1CAB">
        <w:t>Aarts</w:t>
      </w:r>
      <w:proofErr w:type="spellEnd"/>
      <w:r w:rsidRPr="00CF1CAB">
        <w:t xml:space="preserve"> et al., 2016</w:t>
      </w:r>
      <w:bookmarkEnd w:id="75"/>
      <w:r w:rsidRPr="00CF1CAB">
        <w:t>). I Norge er det estimert at sikthindringer har bidratt til 31</w:t>
      </w:r>
      <w:r>
        <w:t xml:space="preserve"> prosent</w:t>
      </w:r>
      <w:r w:rsidRPr="00CF1CAB">
        <w:t xml:space="preserve"> av </w:t>
      </w:r>
      <w:r>
        <w:t>døds</w:t>
      </w:r>
      <w:r w:rsidRPr="00CF1CAB">
        <w:t xml:space="preserve">ulykkene </w:t>
      </w:r>
      <w:r>
        <w:t xml:space="preserve">med sykkel </w:t>
      </w:r>
      <w:r w:rsidRPr="00CF1CAB">
        <w:t>(</w:t>
      </w:r>
      <w:bookmarkStart w:id="76" w:name="_Hlk198216656"/>
      <w:r w:rsidRPr="00CF1CAB">
        <w:t>Statens vegvesen, 2014</w:t>
      </w:r>
      <w:bookmarkEnd w:id="76"/>
      <w:r w:rsidRPr="00CF1CAB">
        <w:t xml:space="preserve">). </w:t>
      </w:r>
    </w:p>
    <w:p w14:paraId="28CA09EB" w14:textId="26FE0C51" w:rsidR="00DA6DF9" w:rsidRDefault="00DA6DF9" w:rsidP="00DA6DF9">
      <w:r w:rsidRPr="00DA6DF9">
        <w:lastRenderedPageBreak/>
        <w:t xml:space="preserve">Flere studier </w:t>
      </w:r>
      <w:r>
        <w:t>viser at god sikt (lengre siktlengde / ingen sikthindr</w:t>
      </w:r>
      <w:r w:rsidRPr="00DA6DF9">
        <w:t>inger) henger sammen med redusert risiko (</w:t>
      </w:r>
      <w:bookmarkStart w:id="77" w:name="_Hlk198216784"/>
      <w:proofErr w:type="spellStart"/>
      <w:r w:rsidRPr="00DA6DF9">
        <w:t>Jestico</w:t>
      </w:r>
      <w:proofErr w:type="spellEnd"/>
      <w:r w:rsidRPr="00DA6DF9">
        <w:t xml:space="preserve"> et al., 2017, Canada; Schneider et al., 2021, USA</w:t>
      </w:r>
      <w:r w:rsidR="00713F54">
        <w:t xml:space="preserve">; </w:t>
      </w:r>
      <w:proofErr w:type="spellStart"/>
      <w:r w:rsidR="00713F54">
        <w:t>Teschke</w:t>
      </w:r>
      <w:proofErr w:type="spellEnd"/>
      <w:r w:rsidR="00713F54">
        <w:t xml:space="preserve"> et al., 2011, USA</w:t>
      </w:r>
      <w:r>
        <w:t xml:space="preserve">) og lavere skadegrad i ulykker </w:t>
      </w:r>
      <w:r w:rsidRPr="00DA6DF9">
        <w:t>(</w:t>
      </w:r>
      <w:proofErr w:type="spellStart"/>
      <w:r w:rsidRPr="00DA6DF9">
        <w:t>Robartes</w:t>
      </w:r>
      <w:proofErr w:type="spellEnd"/>
      <w:r w:rsidRPr="00DA6DF9">
        <w:t xml:space="preserve"> &amp; Chen, 2017, USA)</w:t>
      </w:r>
      <w:r>
        <w:t xml:space="preserve"> for syklister</w:t>
      </w:r>
      <w:r w:rsidRPr="00DA6DF9">
        <w:t xml:space="preserve">. </w:t>
      </w:r>
      <w:r w:rsidR="00AE6582">
        <w:t xml:space="preserve">Dette gjelder kollisjoner mellom sykkel og bil. </w:t>
      </w:r>
    </w:p>
    <w:p w14:paraId="4F1798E8" w14:textId="3785EDB2" w:rsidR="00AD6AAC" w:rsidRDefault="00AE6582" w:rsidP="00AE6582">
      <w:r>
        <w:t>Det finnes imidlertid også en motsatt hypotese, at god sikt kan føre til høyere risiko som følge av høyere fart (</w:t>
      </w:r>
      <w:proofErr w:type="spellStart"/>
      <w:r>
        <w:t>Schepers</w:t>
      </w:r>
      <w:proofErr w:type="spellEnd"/>
      <w:r>
        <w:t xml:space="preserve"> et al., 2011). Hypotesen får støtte i en studie av sykkel-bil ulykker i </w:t>
      </w:r>
      <w:r w:rsidR="00ED5395">
        <w:t>signalregulerte kryss i boligområder med fartsgrenser på 32 eller 48 km/t (</w:t>
      </w:r>
      <w:proofErr w:type="spellStart"/>
      <w:r w:rsidR="00ED5395" w:rsidRPr="00ED5395">
        <w:t>Ekmekci</w:t>
      </w:r>
      <w:proofErr w:type="spellEnd"/>
      <w:r w:rsidR="00ED5395">
        <w:t xml:space="preserve"> et al., 2024</w:t>
      </w:r>
      <w:bookmarkEnd w:id="77"/>
      <w:r w:rsidR="00ED5395">
        <w:t xml:space="preserve">). </w:t>
      </w:r>
    </w:p>
    <w:p w14:paraId="666943E2" w14:textId="74ACC129" w:rsidR="00466825" w:rsidRDefault="00466825" w:rsidP="00466825">
      <w:pPr>
        <w:pStyle w:val="Overskrift1"/>
      </w:pPr>
      <w:bookmarkStart w:id="78" w:name="anchor_21674-70"/>
      <w:bookmarkStart w:id="79" w:name="_Toc206753757"/>
      <w:bookmarkStart w:id="80" w:name="_Toc196889636"/>
      <w:bookmarkEnd w:id="78"/>
      <w:r>
        <w:t>Virkning på ulykkene: Annet</w:t>
      </w:r>
      <w:bookmarkEnd w:id="79"/>
    </w:p>
    <w:p w14:paraId="48F9247E" w14:textId="5552D95A" w:rsidR="00EB6A3F" w:rsidRDefault="00EB6A3F" w:rsidP="00A23BB3">
      <w:pPr>
        <w:pStyle w:val="Overskrift2"/>
      </w:pPr>
      <w:bookmarkStart w:id="81" w:name="_Toc206753758"/>
      <w:r>
        <w:t>Farget dekke på sykkelveger og sykkelfelt</w:t>
      </w:r>
      <w:bookmarkEnd w:id="81"/>
    </w:p>
    <w:p w14:paraId="18F9E425" w14:textId="772733DF" w:rsidR="00EB6A3F" w:rsidRPr="00E066AB" w:rsidRDefault="00EB6A3F" w:rsidP="00EB6A3F">
      <w:pPr>
        <w:shd w:val="clear" w:color="auto" w:fill="D9D9D9" w:themeFill="background1" w:themeFillShade="D9"/>
      </w:pPr>
      <w:r>
        <w:t>Statens vegvesens håndbøker inneholder ikke krav eller anbefalinger om farget dekke på sykkelfelt, men sykkelveiledninger i enkelte kommuner anbefaler eller krever rødt dekke (f.eks. Gatenormalen i Oslo; Bymiljøetaten, 2020)</w:t>
      </w:r>
      <w:r w:rsidR="00DA6DF9">
        <w:t>.</w:t>
      </w:r>
      <w:r w:rsidRPr="00E066AB">
        <w:t xml:space="preserve"> </w:t>
      </w:r>
    </w:p>
    <w:p w14:paraId="54CD4650" w14:textId="77777777" w:rsidR="00C23F96" w:rsidRDefault="00C23F96" w:rsidP="00C23F96">
      <w:r>
        <w:t xml:space="preserve">Farget belegg på sykkelveger og -felt kan brukes i Norge, men det er ikke omtalt i V122 eller andre av Statens vegvesens håndbøker. I enkelte kommuner er farget belegg derimot definert som standard. Også en rekke andre land bruker farget belegg. </w:t>
      </w:r>
    </w:p>
    <w:p w14:paraId="620F4FC4" w14:textId="77777777" w:rsidR="00C23F96" w:rsidRDefault="00C23F96" w:rsidP="00C23F96">
      <w:r>
        <w:t>Fargen som brukes på sykkelveger, sykkelfelt og ev. annen sykkelinfrastruktur, er rødt (eller rødbrunt) i bl.a.</w:t>
      </w:r>
      <w:r w:rsidRPr="00581492">
        <w:t xml:space="preserve"> Norge, Tyskland og Nederland brukes en rødbrun farge, i USA brukes </w:t>
      </w:r>
      <w:r>
        <w:t xml:space="preserve">ofte </w:t>
      </w:r>
      <w:r w:rsidRPr="00581492">
        <w:t>grøn</w:t>
      </w:r>
      <w:r>
        <w:t>t eller blått,</w:t>
      </w:r>
      <w:r w:rsidRPr="00581492">
        <w:t xml:space="preserve"> og i Danmark brukes blå farge. </w:t>
      </w:r>
    </w:p>
    <w:p w14:paraId="0073F0D7" w14:textId="09D5B923" w:rsidR="00C23F96" w:rsidRDefault="00C23F96" w:rsidP="00C23F96">
      <w:r>
        <w:t xml:space="preserve">Bruken av farget belegg varierer mellom land. </w:t>
      </w:r>
      <w:r w:rsidR="006F28C7">
        <w:t xml:space="preserve">Bl.a. i </w:t>
      </w:r>
      <w:r>
        <w:t xml:space="preserve">Norge brukes farget belegg som regel gjennomgående, dvs. både på strekninger og i kryss (med mindre syklistene har vikeplikt). I andre land (f.eks. Danmark) brukes farget belegg i hovedsak i kryss. I Tyskland brukes farget belegg enda mer restriktivt, som regel bare ved spesifikke konfliktpunkter. </w:t>
      </w:r>
    </w:p>
    <w:p w14:paraId="7AEB2B63" w14:textId="77777777" w:rsidR="00C23F96" w:rsidRPr="00581492" w:rsidRDefault="00C23F96" w:rsidP="00C23F96">
      <w:r>
        <w:t>Disse studiene har undersøkt v</w:t>
      </w:r>
      <w:r w:rsidRPr="00581492">
        <w:t xml:space="preserve">irkningen </w:t>
      </w:r>
      <w:r>
        <w:t xml:space="preserve">av farget belegg på </w:t>
      </w:r>
      <w:r w:rsidRPr="00954766">
        <w:rPr>
          <w:b/>
          <w:bCs/>
        </w:rPr>
        <w:t>sykkelfelt i kryss</w:t>
      </w:r>
      <w:r w:rsidRPr="00581492">
        <w:t>:</w:t>
      </w:r>
    </w:p>
    <w:p w14:paraId="02B26642" w14:textId="45DE66F9" w:rsidR="00C23F96" w:rsidRDefault="00C23F96" w:rsidP="00C23F96">
      <w:pPr>
        <w:ind w:left="426"/>
      </w:pPr>
      <w:bookmarkStart w:id="82" w:name="_Hlk198216814"/>
      <w:r>
        <w:t>Jensen, 2008 (Danmark)</w:t>
      </w:r>
      <w:r w:rsidR="00520C16">
        <w:t xml:space="preserve">: Signalregulerte kryss, gjennomgående blå sykkelfelt </w:t>
      </w:r>
      <w:r>
        <w:br/>
      </w:r>
      <w:proofErr w:type="spellStart"/>
      <w:r>
        <w:t>Schepers</w:t>
      </w:r>
      <w:proofErr w:type="spellEnd"/>
      <w:r>
        <w:t xml:space="preserve"> et al., 2011 (Nederland)</w:t>
      </w:r>
      <w:r w:rsidR="00520C16">
        <w:t>: Vikepliktsregulerte kryss, kryssende trafikk har vikeplikt for syklister, gjennomgående røde sykkelfelt</w:t>
      </w:r>
      <w:r>
        <w:br/>
        <w:t>Buch &amp; Jensen, 2013 (Danmark)</w:t>
      </w:r>
      <w:r w:rsidR="00520C16">
        <w:t>: Vikepliktsregulerte kryss, kryssende trafikk har vikeplikt for syklister, blå sykkelfelt i kryss (ikke farget på strekning)</w:t>
      </w:r>
    </w:p>
    <w:bookmarkEnd w:id="82"/>
    <w:p w14:paraId="56A706A5" w14:textId="37AB905D" w:rsidR="006F28C7" w:rsidRDefault="006F28C7" w:rsidP="006F28C7">
      <w:r w:rsidRPr="00581492">
        <w:t xml:space="preserve">Resultatene spriker både mellom studiene og mellom ulike kryss i enkelte studier. </w:t>
      </w:r>
      <w:r>
        <w:t>Sammenlagt viser resultatene ingen signifikant effekt av farget sykkelfelt i kryss (+15% [-19; +62]). Der det er funnet ulykkesøkninger, forklares dette med at syklister har høyere fart og er mer uoppmerksomme (</w:t>
      </w:r>
      <w:proofErr w:type="spellStart"/>
      <w:r>
        <w:t>Schepers</w:t>
      </w:r>
      <w:proofErr w:type="spellEnd"/>
      <w:r>
        <w:t xml:space="preserve"> et al., 2011; Buch &amp; Jensen, 2013). </w:t>
      </w:r>
    </w:p>
    <w:p w14:paraId="3F0DBC33" w14:textId="6F8E7282" w:rsidR="006F28C7" w:rsidRDefault="006F28C7" w:rsidP="006F28C7">
      <w:r>
        <w:t>I motsetning til disse resultatene fant e</w:t>
      </w:r>
      <w:r w:rsidRPr="006F28C7">
        <w:t xml:space="preserve">n studie fra Australia </w:t>
      </w:r>
      <w:r>
        <w:t xml:space="preserve">at </w:t>
      </w:r>
      <w:r w:rsidRPr="008C3B93">
        <w:rPr>
          <w:b/>
          <w:bCs/>
        </w:rPr>
        <w:t>nye</w:t>
      </w:r>
      <w:r>
        <w:t xml:space="preserve"> </w:t>
      </w:r>
      <w:r w:rsidRPr="008C3B93">
        <w:rPr>
          <w:b/>
          <w:bCs/>
        </w:rPr>
        <w:t>sykkelfelt på strekninger</w:t>
      </w:r>
      <w:r>
        <w:t xml:space="preserve"> (med gjennomgående sykkelfeltoppmerking i kryss) har større </w:t>
      </w:r>
      <w:proofErr w:type="spellStart"/>
      <w:r>
        <w:t>ulykkesreduserende</w:t>
      </w:r>
      <w:proofErr w:type="spellEnd"/>
      <w:r>
        <w:t xml:space="preserve"> effekt </w:t>
      </w:r>
      <w:r w:rsidR="008C3B93">
        <w:t xml:space="preserve">(i forhold til blandet trafikk) </w:t>
      </w:r>
      <w:r>
        <w:t xml:space="preserve">i signalregulerte kryss når sykkelfeltene er farget enn når de ikke er farget. Her er det fargede belegget imidlertid kun på strekningene mellom kryss, og ikke i kryssene. </w:t>
      </w:r>
    </w:p>
    <w:p w14:paraId="5D52B23D" w14:textId="1FCBD15D" w:rsidR="00C23F96" w:rsidRPr="0087411B" w:rsidRDefault="00C23F96" w:rsidP="008C3B93">
      <w:r w:rsidRPr="0087411B">
        <w:t>En litteraturgjennomgang (</w:t>
      </w:r>
      <w:bookmarkStart w:id="83" w:name="_Hlk198216819"/>
      <w:r w:rsidRPr="0087411B">
        <w:t>Høye &amp; Fyhri, 2021</w:t>
      </w:r>
      <w:bookmarkEnd w:id="83"/>
      <w:r w:rsidRPr="0087411B">
        <w:t xml:space="preserve">) viser at det er usikkert hvorvidt farget dekke reduserer ulykkesrisikoen for syklister. Derimot viser en rekke studier at farget dekke gjør sykkelveger og -felt mer attraktive for mange syklister. </w:t>
      </w:r>
    </w:p>
    <w:p w14:paraId="4F126752" w14:textId="4EDC8F81" w:rsidR="000D3827" w:rsidRPr="00956076" w:rsidRDefault="000D3827" w:rsidP="00A23BB3">
      <w:pPr>
        <w:pStyle w:val="Overskrift2"/>
      </w:pPr>
      <w:bookmarkStart w:id="84" w:name="_Toc206753759"/>
      <w:r w:rsidRPr="00956076">
        <w:lastRenderedPageBreak/>
        <w:t>Fartsdempende tiltak</w:t>
      </w:r>
      <w:bookmarkEnd w:id="84"/>
    </w:p>
    <w:p w14:paraId="10129B12" w14:textId="77777777" w:rsidR="000D3827" w:rsidRPr="004A26E9" w:rsidRDefault="000D3827" w:rsidP="000D3827">
      <w:r>
        <w:t xml:space="preserve">Fartsdempende tiltak på sykkelveg og på gang- og sykkelveg er beskrevet i kapittel </w:t>
      </w:r>
      <w:hyperlink r:id="rId37" w:history="1">
        <w:r w:rsidRPr="004A26E9">
          <w:rPr>
            <w:rStyle w:val="Hyperkobling"/>
          </w:rPr>
          <w:t>3.12 Fysiske fartsdempende tiltak</w:t>
        </w:r>
      </w:hyperlink>
      <w:r>
        <w:t xml:space="preserve"> og i Statens vegvesens håndbok V128 Fartsdempende tiltak (2019). </w:t>
      </w:r>
    </w:p>
    <w:p w14:paraId="0FD840A8" w14:textId="706AE493" w:rsidR="00EB6A3F" w:rsidRDefault="00EB6A3F" w:rsidP="00A23BB3">
      <w:pPr>
        <w:pStyle w:val="Overskrift2"/>
      </w:pPr>
      <w:bookmarkStart w:id="85" w:name="_Toc206753760"/>
      <w:r>
        <w:t>Sikkerhet vs. trygghet</w:t>
      </w:r>
      <w:bookmarkEnd w:id="85"/>
    </w:p>
    <w:p w14:paraId="7B80F2B4" w14:textId="5EAB7906" w:rsidR="00EB6A3F" w:rsidRPr="00EB6A3F" w:rsidRDefault="00EB6A3F" w:rsidP="00EB6A3F">
      <w:r>
        <w:t>Sykkelløsninger har ofte ulike virkninger på sikkerhet (ulykkesrisiko) og trygghet (syklistenes opplevelse) (</w:t>
      </w:r>
      <w:bookmarkStart w:id="86" w:name="_Hlk198216828"/>
      <w:proofErr w:type="spellStart"/>
      <w:r w:rsidR="000D4569" w:rsidRPr="000D4569">
        <w:t>Wählby</w:t>
      </w:r>
      <w:proofErr w:type="spellEnd"/>
      <w:r w:rsidR="000D4569" w:rsidRPr="000D4569">
        <w:t xml:space="preserve"> &amp; Olausson, 2021</w:t>
      </w:r>
      <w:bookmarkEnd w:id="86"/>
      <w:r>
        <w:t xml:space="preserve">). Løsninger med god sikkerhet, oppleves ofte som utrygge (som f.eks. når syklistene har vikeplikt for biltrafikken i kryss), mens løsninger som oppleves som trygge, ofte har dårlig sikkerhet (som f.eks. dobbeltrettede sykkelveger i kryss). </w:t>
      </w:r>
    </w:p>
    <w:p w14:paraId="236D6F09" w14:textId="439ED0E3" w:rsidR="00BE30CB" w:rsidRPr="00CF1CAB" w:rsidRDefault="00BE30CB" w:rsidP="00BE30CB">
      <w:pPr>
        <w:pStyle w:val="Overskrift1"/>
        <w:ind w:left="851" w:hanging="851"/>
        <w:rPr>
          <w:rFonts w:eastAsiaTheme="minorHAnsi"/>
        </w:rPr>
      </w:pPr>
      <w:bookmarkStart w:id="87" w:name="_Toc206753761"/>
      <w:r w:rsidRPr="00CF1CAB">
        <w:rPr>
          <w:rFonts w:eastAsiaTheme="minorHAnsi"/>
        </w:rPr>
        <w:t>Virkning på framkommelighet</w:t>
      </w:r>
      <w:bookmarkEnd w:id="80"/>
      <w:bookmarkEnd w:id="87"/>
    </w:p>
    <w:p w14:paraId="2D28B284" w14:textId="33C6D3D3" w:rsidR="001D744E" w:rsidRDefault="001D744E" w:rsidP="001D744E">
      <w:r w:rsidRPr="001D744E">
        <w:rPr>
          <w:b/>
          <w:bCs/>
        </w:rPr>
        <w:t>Streknings</w:t>
      </w:r>
      <w:r>
        <w:rPr>
          <w:b/>
          <w:bCs/>
        </w:rPr>
        <w:t>løsninger</w:t>
      </w:r>
      <w:r w:rsidRPr="001D744E">
        <w:rPr>
          <w:b/>
          <w:bCs/>
        </w:rPr>
        <w:t>:</w:t>
      </w:r>
      <w:r w:rsidRPr="001D744E">
        <w:t xml:space="preserve"> </w:t>
      </w:r>
      <w:r>
        <w:t>Hvordan ulike strekningsløsninger påvirker fremkommeligheten for syklister, avhenger alltid av den konkrete utformingen. For å sikre god fremkommelighet, er det spesielt bredden som er avgjørende</w:t>
      </w:r>
      <w:r w:rsidR="00D07758">
        <w:t xml:space="preserve"> (Høye &amp; De Jong</w:t>
      </w:r>
      <w:r w:rsidR="00EA76B1" w:rsidRPr="00EA76B1">
        <w:t>, 2023</w:t>
      </w:r>
      <w:r w:rsidR="00D07758">
        <w:t>)</w:t>
      </w:r>
      <w:r>
        <w:t xml:space="preserve">. Uten tilstrekkelig bredde, vil selv de «beste» løsningen ha dårlig fremkommelighet. </w:t>
      </w:r>
      <w:r w:rsidR="00D07758">
        <w:t>Hvilken bredde som er nødvendig for å sikre god fremkommelighet, avhenger bl.a. av antall syklister (og ev. fotgjengere). N</w:t>
      </w:r>
      <w:r>
        <w:t>ærhet til motorisert trafikk</w:t>
      </w:r>
      <w:r w:rsidR="00D07758">
        <w:t xml:space="preserve">, fotgjengere, dårlig vedlikehold, kantsteiner og farlige objekter ved siden av sykkelveg-/felt kan redusere den tilgjengelige bredden og dermed redusere fremkommeligheten. </w:t>
      </w:r>
    </w:p>
    <w:p w14:paraId="38496238" w14:textId="789877E4" w:rsidR="00BE30CB" w:rsidRPr="00CF1CAB" w:rsidRDefault="00D07758" w:rsidP="001D744E">
      <w:r>
        <w:t xml:space="preserve">Det er likevel noen generelle forskjeller mellom ulike strekningsløsninger, og de kan oppsummeres som følgende, basert på en litteraturgjennomgang av </w:t>
      </w:r>
      <w:bookmarkStart w:id="88" w:name="_Hlk198216836"/>
      <w:r w:rsidR="001D744E">
        <w:t xml:space="preserve">Høye </w:t>
      </w:r>
      <w:r w:rsidR="00E61823">
        <w:t xml:space="preserve">et al. </w:t>
      </w:r>
      <w:r w:rsidR="001D744E">
        <w:t>(2015</w:t>
      </w:r>
      <w:bookmarkEnd w:id="88"/>
      <w:r w:rsidR="001D744E">
        <w:t>)</w:t>
      </w:r>
      <w:r w:rsidR="00BE30CB" w:rsidRPr="00CF1CAB">
        <w:t>:</w:t>
      </w:r>
    </w:p>
    <w:p w14:paraId="7249CFCA" w14:textId="1E85F4AF" w:rsidR="00BE30CB" w:rsidRPr="001D744E" w:rsidRDefault="00BE30CB">
      <w:pPr>
        <w:numPr>
          <w:ilvl w:val="0"/>
          <w:numId w:val="7"/>
        </w:numPr>
      </w:pPr>
      <w:r w:rsidRPr="001D744E">
        <w:rPr>
          <w:b/>
          <w:bCs/>
        </w:rPr>
        <w:t>Sykkelfelt</w:t>
      </w:r>
      <w:r w:rsidRPr="001D744E">
        <w:t xml:space="preserve"> har </w:t>
      </w:r>
      <w:r w:rsidR="00D07758">
        <w:t xml:space="preserve">som regel </w:t>
      </w:r>
      <w:r w:rsidRPr="001D744E">
        <w:t>bedre framkommelighet enn både sykkelveg og GS-veg og kan også ha bedre framkommelighet enn blandet trafikk.</w:t>
      </w:r>
    </w:p>
    <w:p w14:paraId="14B5633C" w14:textId="043BA61C" w:rsidR="00BE30CB" w:rsidRPr="001D744E" w:rsidRDefault="00BE30CB">
      <w:pPr>
        <w:numPr>
          <w:ilvl w:val="0"/>
          <w:numId w:val="7"/>
        </w:numPr>
      </w:pPr>
      <w:r w:rsidRPr="001D744E">
        <w:rPr>
          <w:b/>
          <w:bCs/>
        </w:rPr>
        <w:t>Sykkelveg</w:t>
      </w:r>
      <w:r w:rsidRPr="001D744E">
        <w:t xml:space="preserve"> har </w:t>
      </w:r>
      <w:r w:rsidR="00D07758">
        <w:t xml:space="preserve">som regel </w:t>
      </w:r>
      <w:r w:rsidRPr="001D744E">
        <w:t>bedre framkommelighet enn GS-veg</w:t>
      </w:r>
      <w:r w:rsidR="001D744E">
        <w:t xml:space="preserve">, og </w:t>
      </w:r>
      <w:r w:rsidRPr="001D744E">
        <w:t xml:space="preserve">ensrettet sykkelveg har </w:t>
      </w:r>
      <w:r w:rsidR="001D744E">
        <w:t xml:space="preserve">som regel </w:t>
      </w:r>
      <w:r w:rsidRPr="001D744E">
        <w:t>bedre framkommelighet enn dobbeltrettet sykkelveg.</w:t>
      </w:r>
    </w:p>
    <w:p w14:paraId="0DACA92D" w14:textId="4E748FD0" w:rsidR="00BE30CB" w:rsidRPr="001D744E" w:rsidRDefault="00BE30CB">
      <w:pPr>
        <w:numPr>
          <w:ilvl w:val="0"/>
          <w:numId w:val="7"/>
        </w:numPr>
      </w:pPr>
      <w:r w:rsidRPr="001D744E">
        <w:rPr>
          <w:b/>
          <w:bCs/>
        </w:rPr>
        <w:t>GS-veg</w:t>
      </w:r>
      <w:r w:rsidRPr="001D744E">
        <w:t> </w:t>
      </w:r>
      <w:r w:rsidR="00D07758">
        <w:t xml:space="preserve">har som regel dårligere </w:t>
      </w:r>
      <w:r w:rsidRPr="001D744E">
        <w:t>framkommelighet for syklister</w:t>
      </w:r>
      <w:r w:rsidR="00D07758">
        <w:t xml:space="preserve"> enn andre løsninger, </w:t>
      </w:r>
      <w:r w:rsidRPr="001D744E">
        <w:t xml:space="preserve">med mindre det er </w:t>
      </w:r>
      <w:r w:rsidR="001D744E" w:rsidRPr="001D744E">
        <w:t xml:space="preserve">få </w:t>
      </w:r>
      <w:r w:rsidRPr="001D744E">
        <w:t>fotgjenger</w:t>
      </w:r>
      <w:r w:rsidR="001D744E" w:rsidRPr="001D744E">
        <w:t>e</w:t>
      </w:r>
      <w:r w:rsidRPr="001D744E">
        <w:t xml:space="preserve"> og </w:t>
      </w:r>
      <w:r w:rsidR="001D744E" w:rsidRPr="001D744E">
        <w:t xml:space="preserve">lite </w:t>
      </w:r>
      <w:r w:rsidRPr="001D744E">
        <w:t>møtende sykkeltrafikk.</w:t>
      </w:r>
    </w:p>
    <w:p w14:paraId="33E2D58D" w14:textId="77777777" w:rsidR="00BE30CB" w:rsidRPr="001D744E" w:rsidRDefault="00BE30CB">
      <w:pPr>
        <w:numPr>
          <w:ilvl w:val="0"/>
          <w:numId w:val="7"/>
        </w:numPr>
      </w:pPr>
      <w:r w:rsidRPr="001D744E">
        <w:rPr>
          <w:b/>
          <w:bCs/>
        </w:rPr>
        <w:t>Sykkelekspressveg</w:t>
      </w:r>
      <w:r w:rsidRPr="001D744E">
        <w:t> er per definisjon utformet slik at syklistene har best mulig framkommelighet.</w:t>
      </w:r>
    </w:p>
    <w:p w14:paraId="20275086" w14:textId="196F5BD1" w:rsidR="00BE30CB" w:rsidRPr="001D744E" w:rsidRDefault="00BE30CB">
      <w:pPr>
        <w:numPr>
          <w:ilvl w:val="0"/>
          <w:numId w:val="7"/>
        </w:numPr>
      </w:pPr>
      <w:r w:rsidRPr="001D744E">
        <w:rPr>
          <w:b/>
          <w:bCs/>
        </w:rPr>
        <w:t>Sykkelgate</w:t>
      </w:r>
      <w:r w:rsidRPr="001D744E">
        <w:t> kan ha god framkommelighet for syklister</w:t>
      </w:r>
      <w:r w:rsidR="001D744E">
        <w:t>,</w:t>
      </w:r>
      <w:r w:rsidRPr="001D744E">
        <w:t xml:space="preserve"> men avhenge</w:t>
      </w:r>
      <w:r w:rsidR="001D744E">
        <w:t>r</w:t>
      </w:r>
      <w:r w:rsidRPr="001D744E">
        <w:t xml:space="preserve"> av utformingen</w:t>
      </w:r>
      <w:r w:rsidR="00D07758">
        <w:t xml:space="preserve"> og hvordan den brukes av fotgjengere</w:t>
      </w:r>
      <w:r w:rsidRPr="001D744E">
        <w:t>.</w:t>
      </w:r>
    </w:p>
    <w:p w14:paraId="1F48F767" w14:textId="6763081E" w:rsidR="00BE30CB" w:rsidRPr="001D744E" w:rsidRDefault="00BE30CB">
      <w:pPr>
        <w:numPr>
          <w:ilvl w:val="0"/>
          <w:numId w:val="7"/>
        </w:numPr>
      </w:pPr>
      <w:r w:rsidRPr="001D744E">
        <w:rPr>
          <w:b/>
          <w:bCs/>
        </w:rPr>
        <w:t>Blandet trafikk</w:t>
      </w:r>
      <w:r w:rsidRPr="001D744E">
        <w:t xml:space="preserve"> kan ha like god eller bedre framkommelighet enn øvrige tiltak, </w:t>
      </w:r>
      <w:r w:rsidR="00D07758">
        <w:t>men dette avhenger av vegbredde, fart og trafikkmengde</w:t>
      </w:r>
      <w:r w:rsidRPr="001D744E">
        <w:t>.</w:t>
      </w:r>
    </w:p>
    <w:p w14:paraId="4D47F246" w14:textId="77777777" w:rsidR="00BE30CB" w:rsidRPr="001D744E" w:rsidRDefault="00BE30CB">
      <w:pPr>
        <w:numPr>
          <w:ilvl w:val="0"/>
          <w:numId w:val="7"/>
        </w:numPr>
      </w:pPr>
      <w:r w:rsidRPr="001D744E">
        <w:rPr>
          <w:b/>
          <w:bCs/>
        </w:rPr>
        <w:t>Sykling mot kjøreretning i enveiskjørte gater</w:t>
      </w:r>
      <w:r w:rsidRPr="001D744E">
        <w:t> gir syklistene betydelig bedre framkommelighet i områder med mange enveiskjørte gater.</w:t>
      </w:r>
    </w:p>
    <w:p w14:paraId="45CD7D38" w14:textId="3DC219EF" w:rsidR="00D07758" w:rsidRDefault="001D744E" w:rsidP="00D07758">
      <w:r w:rsidRPr="00D07758">
        <w:rPr>
          <w:b/>
          <w:bCs/>
        </w:rPr>
        <w:t>Kryssløsninger:</w:t>
      </w:r>
      <w:r w:rsidRPr="001D744E">
        <w:t xml:space="preserve"> </w:t>
      </w:r>
      <w:r w:rsidR="00D07758">
        <w:t xml:space="preserve">I </w:t>
      </w:r>
      <w:r w:rsidR="00D07758" w:rsidRPr="00A143BF">
        <w:rPr>
          <w:b/>
          <w:bCs/>
        </w:rPr>
        <w:t>høyre- og vikepliktsregulerte kryss</w:t>
      </w:r>
      <w:r w:rsidR="00D07758">
        <w:t xml:space="preserve"> med sykkelveg eller GS-veg langs primærvegen er fremkommeligheten for syklister som regel bedre når trafikk på sekundærvegen har vikeplikt for syklistene enn omvendt. </w:t>
      </w:r>
      <w:r w:rsidR="00A143BF">
        <w:t xml:space="preserve">Dette forutsetter at annen trafikk faktisk overholder vikeplikten (og kan gå på bekostning av sikkerheten). </w:t>
      </w:r>
    </w:p>
    <w:p w14:paraId="4D8BF13E" w14:textId="77777777" w:rsidR="00A143BF" w:rsidRDefault="00A143BF" w:rsidP="001D744E">
      <w:r>
        <w:t xml:space="preserve">I </w:t>
      </w:r>
      <w:r w:rsidRPr="00A143BF">
        <w:rPr>
          <w:b/>
          <w:bCs/>
        </w:rPr>
        <w:t>signalregulerte kryss</w:t>
      </w:r>
      <w:r>
        <w:t xml:space="preserve"> er løsninger som kan forbedre fremkommeligheten for syklister bl.a.: </w:t>
      </w:r>
    </w:p>
    <w:p w14:paraId="457AEC88" w14:textId="77777777" w:rsidR="00A143BF" w:rsidRDefault="00A143BF" w:rsidP="008E35EB">
      <w:pPr>
        <w:pStyle w:val="Listeavsnitt"/>
        <w:numPr>
          <w:ilvl w:val="0"/>
          <w:numId w:val="11"/>
        </w:numPr>
      </w:pPr>
      <w:r>
        <w:t>M</w:t>
      </w:r>
      <w:r w:rsidR="00BE30CB" w:rsidRPr="00CF1CAB">
        <w:t>idtstilt sykkelfelt</w:t>
      </w:r>
    </w:p>
    <w:p w14:paraId="5C2648AF" w14:textId="768B6386" w:rsidR="00BE30CB" w:rsidRDefault="00A143BF" w:rsidP="008E35EB">
      <w:pPr>
        <w:pStyle w:val="Listeavsnitt"/>
        <w:numPr>
          <w:ilvl w:val="0"/>
          <w:numId w:val="11"/>
        </w:numPr>
      </w:pPr>
      <w:r>
        <w:t>S</w:t>
      </w:r>
      <w:r w:rsidR="00BE30CB" w:rsidRPr="00CF1CAB">
        <w:t>ykkelboks</w:t>
      </w:r>
    </w:p>
    <w:p w14:paraId="386D865E" w14:textId="7702B40C" w:rsidR="00A143BF" w:rsidRPr="00CF1CAB" w:rsidRDefault="00A143BF" w:rsidP="008E35EB">
      <w:pPr>
        <w:pStyle w:val="Listeavsnitt"/>
        <w:numPr>
          <w:ilvl w:val="0"/>
          <w:numId w:val="11"/>
        </w:numPr>
      </w:pPr>
      <w:r>
        <w:lastRenderedPageBreak/>
        <w:t xml:space="preserve">Filterfelt. </w:t>
      </w:r>
    </w:p>
    <w:p w14:paraId="43BF58EF" w14:textId="77777777" w:rsidR="00BE30CB" w:rsidRPr="00CF1CAB" w:rsidRDefault="00BE30CB" w:rsidP="00BE30CB">
      <w:pPr>
        <w:pStyle w:val="Overskrift1"/>
        <w:ind w:left="851" w:hanging="851"/>
        <w:rPr>
          <w:rFonts w:eastAsiaTheme="minorHAnsi"/>
        </w:rPr>
      </w:pPr>
      <w:bookmarkStart w:id="89" w:name="anchor_21674-80"/>
      <w:bookmarkStart w:id="90" w:name="_Toc196889637"/>
      <w:bookmarkStart w:id="91" w:name="_Toc206753762"/>
      <w:bookmarkEnd w:id="89"/>
      <w:r w:rsidRPr="00CF1CAB">
        <w:rPr>
          <w:rFonts w:eastAsiaTheme="minorHAnsi"/>
        </w:rPr>
        <w:t>Virkning på miljøforhold</w:t>
      </w:r>
      <w:bookmarkEnd w:id="90"/>
      <w:bookmarkEnd w:id="91"/>
    </w:p>
    <w:p w14:paraId="28205233" w14:textId="77777777" w:rsidR="00E061DD" w:rsidRDefault="00BE30CB" w:rsidP="00E061DD">
      <w:r w:rsidRPr="00CF1CAB">
        <w:t>Forbedret infrastruktur for syklister kan påvirke miljøet ved å øke andelen som sykler istedenfor å kjøre bil, noe som medfører reduserte utslipp og støy fra motorkjøretøy (</w:t>
      </w:r>
      <w:bookmarkStart w:id="92" w:name="_Hlk198216854"/>
      <w:r w:rsidRPr="00CF1CAB">
        <w:t>Hesjevoll &amp; Ingebrigtsen, 2016</w:t>
      </w:r>
      <w:r w:rsidR="00E061DD">
        <w:t>, s</w:t>
      </w:r>
      <w:bookmarkEnd w:id="92"/>
      <w:r w:rsidR="00E061DD">
        <w:t xml:space="preserve">e også </w:t>
      </w:r>
      <w:hyperlink r:id="rId38" w:history="1">
        <w:r w:rsidR="00E061DD" w:rsidRPr="00E061DD">
          <w:rPr>
            <w:rStyle w:val="Hyperkobling"/>
          </w:rPr>
          <w:t>Tiltakskatalog for transport og miljø</w:t>
        </w:r>
      </w:hyperlink>
      <w:r w:rsidRPr="00CF1CAB">
        <w:t xml:space="preserve">). </w:t>
      </w:r>
    </w:p>
    <w:p w14:paraId="1EC3B03A" w14:textId="65B9E8AE" w:rsidR="00BE30CB" w:rsidRPr="00CF1CAB" w:rsidRDefault="00BE30CB" w:rsidP="00E061DD">
      <w:r w:rsidRPr="00CF1CAB">
        <w:t>Løsninger som har størst potensiale for å tiltrekke seg flere syklister</w:t>
      </w:r>
      <w:r w:rsidR="00E061DD">
        <w:t>,</w:t>
      </w:r>
      <w:r w:rsidRPr="00CF1CAB">
        <w:t xml:space="preserve"> er løsninger som gir både økt trygghet og god framkommelighet. På disse kriteriene er det især ensrettet sykkelveg og sykkelfelt som kommer godt ut, samt tilrettelegging for sykling i blandet trafikk på lite trafikkerte gater med lav fart. Sykkelekspressveger har også potensiale for å tiltrekke flere syklister (</w:t>
      </w:r>
      <w:bookmarkStart w:id="93" w:name="_Hlk198216859"/>
      <w:r w:rsidRPr="00CF1CAB">
        <w:t>Sørensen, 2012</w:t>
      </w:r>
      <w:bookmarkEnd w:id="93"/>
      <w:r w:rsidRPr="00CF1CAB">
        <w:t>).</w:t>
      </w:r>
    </w:p>
    <w:p w14:paraId="544C6E05" w14:textId="77777777" w:rsidR="00BE30CB" w:rsidRPr="00CF1CAB" w:rsidRDefault="00BE30CB" w:rsidP="00BE30CB">
      <w:pPr>
        <w:pStyle w:val="Overskrift1"/>
        <w:ind w:left="851" w:hanging="851"/>
        <w:rPr>
          <w:rFonts w:eastAsiaTheme="minorHAnsi"/>
        </w:rPr>
      </w:pPr>
      <w:bookmarkStart w:id="94" w:name="anchor_21674-90"/>
      <w:bookmarkStart w:id="95" w:name="_Toc196889638"/>
      <w:bookmarkStart w:id="96" w:name="_Toc206753763"/>
      <w:bookmarkEnd w:id="94"/>
      <w:r w:rsidRPr="00CF1CAB">
        <w:rPr>
          <w:rFonts w:eastAsiaTheme="minorHAnsi"/>
        </w:rPr>
        <w:t>Kostnader</w:t>
      </w:r>
      <w:bookmarkEnd w:id="95"/>
      <w:bookmarkEnd w:id="96"/>
    </w:p>
    <w:p w14:paraId="1325A490" w14:textId="04FAB48E" w:rsidR="00BE30CB" w:rsidRDefault="00BE30CB" w:rsidP="00E061DD">
      <w:r w:rsidRPr="00CF1CAB">
        <w:t>På grunnlag av ulike eldre kilder (</w:t>
      </w:r>
      <w:bookmarkStart w:id="97" w:name="_Hlk198216863"/>
      <w:proofErr w:type="spellStart"/>
      <w:r w:rsidRPr="00CF1CAB">
        <w:t>Sælensminde</w:t>
      </w:r>
      <w:proofErr w:type="spellEnd"/>
      <w:r w:rsidRPr="00CF1CAB">
        <w:t>, 2004</w:t>
      </w:r>
      <w:r w:rsidR="00E061DD">
        <w:t>;</w:t>
      </w:r>
      <w:r w:rsidRPr="00CF1CAB">
        <w:t xml:space="preserve"> </w:t>
      </w:r>
      <w:proofErr w:type="spellStart"/>
      <w:r w:rsidRPr="00CF1CAB">
        <w:t>Vejdirektoratet</w:t>
      </w:r>
      <w:proofErr w:type="spellEnd"/>
      <w:r w:rsidRPr="00CF1CAB">
        <w:t>, 2000</w:t>
      </w:r>
      <w:bookmarkEnd w:id="97"/>
      <w:r w:rsidRPr="00CF1CAB">
        <w:t>) er typiske kostnader til sykkelveger og GS-veger anslått til omtrent 8 mill. kr. per kilometer og typiske kostnader til oppmerking av sykkelfelt er anslått til omtrent 1 mill. kr. per kilometer. I tillegg til anleggskostnad kan det regnes med en årlig vedlikeholdskostnad på ca. 38.000 kr per km veg til GS-veger. Kostnadene varierer en del fra sted til sted avhengig av lokale forhold og standard på sykkelanlegget.</w:t>
      </w:r>
    </w:p>
    <w:p w14:paraId="2626EDA0" w14:textId="77777777" w:rsidR="00BE30CB" w:rsidRPr="00CF1CAB" w:rsidRDefault="00BE30CB" w:rsidP="00BE30CB">
      <w:pPr>
        <w:pStyle w:val="Overskrift1"/>
        <w:ind w:left="851" w:hanging="851"/>
        <w:rPr>
          <w:rFonts w:eastAsiaTheme="minorHAnsi"/>
        </w:rPr>
      </w:pPr>
      <w:bookmarkStart w:id="98" w:name="anchor_21674-100"/>
      <w:bookmarkStart w:id="99" w:name="_Toc196889639"/>
      <w:bookmarkStart w:id="100" w:name="_Toc206753764"/>
      <w:bookmarkEnd w:id="98"/>
      <w:r w:rsidRPr="00CF1CAB">
        <w:rPr>
          <w:rFonts w:eastAsiaTheme="minorHAnsi"/>
        </w:rPr>
        <w:t>Nytte-kostnadsvurderinger</w:t>
      </w:r>
      <w:bookmarkEnd w:id="99"/>
      <w:bookmarkEnd w:id="100"/>
    </w:p>
    <w:p w14:paraId="1E51A126" w14:textId="77777777" w:rsidR="00E061DD" w:rsidRDefault="00BE30CB" w:rsidP="00E061DD">
      <w:r w:rsidRPr="00CF1CAB">
        <w:t xml:space="preserve">Den samfunnsøkonomiske nytten av et </w:t>
      </w:r>
      <w:r w:rsidRPr="00E061DD">
        <w:rPr>
          <w:b/>
          <w:bCs/>
        </w:rPr>
        <w:t>sammenhengende gang- og sykkelvegnett</w:t>
      </w:r>
      <w:r w:rsidRPr="00CF1CAB">
        <w:t xml:space="preserve"> i norske byer er trolig minst 4-5 gange større enn kostnadene ifølge </w:t>
      </w:r>
      <w:proofErr w:type="spellStart"/>
      <w:r w:rsidRPr="00CF1CAB">
        <w:t>Sælensminde</w:t>
      </w:r>
      <w:proofErr w:type="spellEnd"/>
      <w:r w:rsidRPr="00CF1CAB">
        <w:t xml:space="preserve"> (2004). I dette estimat inngår anleggskostnader, vedlikeholdskostnader og såkalt skattekostnadsfaktor samt nytte i form av reduserte trafikkulykker, reisetid, utrygghet og eksterne kostnad ved motorisert transport, samt helsemessige virkninger. </w:t>
      </w:r>
    </w:p>
    <w:p w14:paraId="3E76C747" w14:textId="51BB6D01" w:rsidR="00BE30CB" w:rsidRPr="00CF1CAB" w:rsidRDefault="00BE30CB" w:rsidP="00E061DD">
      <w:bookmarkStart w:id="101" w:name="_Hlk198216877"/>
      <w:proofErr w:type="spellStart"/>
      <w:r w:rsidRPr="00CF1CAB">
        <w:t>Herby</w:t>
      </w:r>
      <w:proofErr w:type="spellEnd"/>
      <w:r w:rsidRPr="00CF1CAB">
        <w:t xml:space="preserve"> &amp; Friis (2013</w:t>
      </w:r>
      <w:bookmarkEnd w:id="101"/>
      <w:r w:rsidRPr="00CF1CAB">
        <w:t xml:space="preserve">) viser at </w:t>
      </w:r>
      <w:r w:rsidRPr="00E061DD">
        <w:rPr>
          <w:b/>
          <w:bCs/>
        </w:rPr>
        <w:t>sykkelekspressveger</w:t>
      </w:r>
      <w:r w:rsidRPr="00CF1CAB">
        <w:t xml:space="preserve"> potensielt har stor samfunnsøkonomisk nytte, bl.a. i form av helsegevinster, reduserte køer og reduserte klimaeffekter av motorisert trafikk, men at nytte-kostnadsforholdet varierer mye mellom ulike prosjekter.</w:t>
      </w:r>
    </w:p>
    <w:p w14:paraId="6DC7B273" w14:textId="77777777" w:rsidR="00BE30CB" w:rsidRPr="00CF1CAB" w:rsidRDefault="00BE30CB" w:rsidP="00E061DD">
      <w:r w:rsidRPr="00E061DD">
        <w:rPr>
          <w:b/>
          <w:bCs/>
        </w:rPr>
        <w:t>Økt fysisk aktivitet</w:t>
      </w:r>
      <w:r w:rsidRPr="00CF1CAB">
        <w:t xml:space="preserve"> (fra inaktiv til moderat aktiv) øker både livskvaliteten og levetiden, i gjennomsnitt med åtte kvalitetsjusterte leveår. Ut fra sammenhengen mellom fysisk aktivitet og økt levetid, samt verdsettingen av denne (0,5 mill. kr. per kvalitetsjustert leveår) estimerer Statens vegvesen (2012) den samfunnsøkonomiske nytten av en dobling av sykkeltrafikken i et tettsted med 10.000 innbyggere til 48 mill. kr. per år.</w:t>
      </w:r>
    </w:p>
    <w:p w14:paraId="2115E6CE" w14:textId="77777777" w:rsidR="00BE30CB" w:rsidRPr="00CF1CAB" w:rsidRDefault="00BE30CB" w:rsidP="00BE30CB">
      <w:pPr>
        <w:pStyle w:val="Overskrift1"/>
        <w:ind w:left="851" w:hanging="851"/>
        <w:rPr>
          <w:rFonts w:eastAsiaTheme="minorHAnsi"/>
        </w:rPr>
      </w:pPr>
      <w:bookmarkStart w:id="102" w:name="anchor_21674-110"/>
      <w:bookmarkStart w:id="103" w:name="_Toc196889640"/>
      <w:bookmarkStart w:id="104" w:name="_Toc206753765"/>
      <w:bookmarkEnd w:id="102"/>
      <w:r w:rsidRPr="00CF1CAB">
        <w:rPr>
          <w:rFonts w:eastAsiaTheme="minorHAnsi"/>
        </w:rPr>
        <w:t>Formelt ansvar og saksgang</w:t>
      </w:r>
      <w:bookmarkEnd w:id="103"/>
      <w:bookmarkEnd w:id="104"/>
    </w:p>
    <w:p w14:paraId="60443E95" w14:textId="319D05F7" w:rsidR="00BE30CB" w:rsidRPr="00CF1CAB" w:rsidRDefault="00AF3CA6" w:rsidP="00D051B5">
      <w:r>
        <w:t>Statens vegvesens h</w:t>
      </w:r>
      <w:r w:rsidR="00BE30CB" w:rsidRPr="00CF1CAB">
        <w:t>åndbok N100 (Veg- og gateutforming) setter krav til utforming av sykkelanlegg i Norge for riksveger og fylkesveger.</w:t>
      </w:r>
      <w:r w:rsidR="00151A5B">
        <w:t xml:space="preserve"> Andre relevante håndbøker er håndbøker om trafikk</w:t>
      </w:r>
      <w:r w:rsidR="00151A5B" w:rsidRPr="00CF1CAB">
        <w:t>skilt</w:t>
      </w:r>
      <w:r w:rsidR="00151A5B">
        <w:t xml:space="preserve"> (N300)</w:t>
      </w:r>
      <w:r w:rsidR="00151A5B" w:rsidRPr="00CF1CAB">
        <w:t xml:space="preserve">, </w:t>
      </w:r>
      <w:r w:rsidR="00151A5B">
        <w:t>vegoppmerking (N302)</w:t>
      </w:r>
      <w:r w:rsidR="00D051B5">
        <w:t>, trafikk</w:t>
      </w:r>
      <w:r w:rsidR="00D051B5" w:rsidRPr="00CF1CAB">
        <w:t>signalanlegg</w:t>
      </w:r>
      <w:r w:rsidR="00D051B5">
        <w:t xml:space="preserve"> (N303), tunneler (N500) og rekkverk (N101). </w:t>
      </w:r>
      <w:r w:rsidR="00BE30CB" w:rsidRPr="00CF1CAB">
        <w:t xml:space="preserve">Som en veileder til </w:t>
      </w:r>
      <w:r>
        <w:t xml:space="preserve">disse </w:t>
      </w:r>
      <w:r w:rsidR="00BE30CB" w:rsidRPr="00CF1CAB">
        <w:t>håndbøke</w:t>
      </w:r>
      <w:r>
        <w:t>ne</w:t>
      </w:r>
      <w:r w:rsidR="00BE30CB" w:rsidRPr="00CF1CAB">
        <w:t xml:space="preserve"> finnes </w:t>
      </w:r>
      <w:r>
        <w:t>Sykkelveiledningen (V122)</w:t>
      </w:r>
      <w:r w:rsidR="00BE30CB" w:rsidRPr="00CF1CAB">
        <w:t>. Hensikten med dette regelverket er å gi god sikkerhet, trygghet og fremkommelighet med sammenhengende, enhetlige og gode løsninger over lengre strekninger.</w:t>
      </w:r>
    </w:p>
    <w:p w14:paraId="3521BA7D" w14:textId="77777777" w:rsidR="00BE30CB" w:rsidRPr="00CF1CAB" w:rsidRDefault="00BE30CB" w:rsidP="00BE30CB">
      <w:pPr>
        <w:pStyle w:val="Overskrift3"/>
        <w:numPr>
          <w:ilvl w:val="0"/>
          <w:numId w:val="0"/>
        </w:numPr>
        <w:ind w:left="576" w:hanging="576"/>
        <w:rPr>
          <w:rFonts w:eastAsiaTheme="minorHAnsi"/>
        </w:rPr>
      </w:pPr>
      <w:r w:rsidRPr="00CF1CAB">
        <w:rPr>
          <w:rFonts w:eastAsiaTheme="minorHAnsi"/>
        </w:rPr>
        <w:lastRenderedPageBreak/>
        <w:t>Initiativ til tiltaket</w:t>
      </w:r>
    </w:p>
    <w:p w14:paraId="69FC1783" w14:textId="77777777" w:rsidR="00BE30CB" w:rsidRPr="00CF1CAB" w:rsidRDefault="00BE30CB" w:rsidP="00E061DD">
      <w:r w:rsidRPr="00CF1CAB">
        <w:t>Det er normalt vegmyndighetene i form av Statens vegvesen, fylkene og kommunene som er ansvarlige for bygging av GS-veger og sykkelveger samt oppmerking av sykkelfelt. Initiativet til byggingen bør tass som en del av en planleggingsprosess, men kan også være et resultat av henvendelser fra beboere langs vegene eller interesseorganisasjoner for fotgjengere og syklister som ønsker et bedre trafikkmiljø.</w:t>
      </w:r>
    </w:p>
    <w:p w14:paraId="071EEF16" w14:textId="77777777" w:rsidR="00BE30CB" w:rsidRPr="00CF1CAB" w:rsidRDefault="00BE30CB" w:rsidP="00E061DD">
      <w:r w:rsidRPr="00CF1CAB">
        <w:t>Ved utbygging av nye boligområder er det i dag vanlig å bygge ut GS-veger samtidig som bilvegene, alternativt tillate blandet trafikk ved å utforme bilvegene slik at farts</w:t>
      </w:r>
      <w:r w:rsidRPr="00CF1CAB">
        <w:softHyphen/>
        <w:t>nivået blir mye lavt.</w:t>
      </w:r>
    </w:p>
    <w:p w14:paraId="48C6C116" w14:textId="77777777" w:rsidR="00BE30CB" w:rsidRPr="00CF1CAB" w:rsidRDefault="00BE30CB" w:rsidP="00BE30CB">
      <w:pPr>
        <w:pStyle w:val="Overskrift3"/>
        <w:numPr>
          <w:ilvl w:val="0"/>
          <w:numId w:val="0"/>
        </w:numPr>
        <w:ind w:left="576" w:hanging="576"/>
        <w:rPr>
          <w:rFonts w:eastAsiaTheme="minorHAnsi"/>
        </w:rPr>
      </w:pPr>
      <w:r w:rsidRPr="00CF1CAB">
        <w:rPr>
          <w:rFonts w:eastAsiaTheme="minorHAnsi"/>
        </w:rPr>
        <w:t>Formelle krav og saksgang</w:t>
      </w:r>
    </w:p>
    <w:p w14:paraId="37BEE507" w14:textId="3BAEF6B2" w:rsidR="00E061DD" w:rsidRDefault="00E061DD" w:rsidP="00E061DD">
      <w:r>
        <w:t xml:space="preserve">Statens vegvesens Sykkelveiledning (V122; 2023) angir </w:t>
      </w:r>
      <w:r w:rsidR="00BE30CB" w:rsidRPr="00CF1CAB">
        <w:t xml:space="preserve">kriterier for valg av løsninger for syklende. </w:t>
      </w:r>
      <w:r>
        <w:t xml:space="preserve">Sykkelveiledningen (V122; 2023) </w:t>
      </w:r>
      <w:r w:rsidR="00BE30CB" w:rsidRPr="00CF1CAB">
        <w:t xml:space="preserve">angir også </w:t>
      </w:r>
      <w:r w:rsidR="00D051B5">
        <w:t>veiledning</w:t>
      </w:r>
      <w:r w:rsidR="00D051B5" w:rsidRPr="00CF1CAB">
        <w:t xml:space="preserve"> </w:t>
      </w:r>
      <w:r w:rsidR="00BE30CB" w:rsidRPr="00CF1CAB">
        <w:t xml:space="preserve">for utforming av </w:t>
      </w:r>
      <w:r>
        <w:t>sykkelinfrastruktur</w:t>
      </w:r>
      <w:r w:rsidR="00BE30CB" w:rsidRPr="00CF1CAB">
        <w:t xml:space="preserve">. </w:t>
      </w:r>
      <w:r>
        <w:t xml:space="preserve">I tillegg gjelder kriterier for utforming, skilting og oppmerking i Statens vegvesens håndbøker N100 (Veg- og gatenormalen), N300 (Skiltnormalen) og N303 (Vegoppmerking). </w:t>
      </w:r>
    </w:p>
    <w:p w14:paraId="71FD0435" w14:textId="77777777" w:rsidR="00E061DD" w:rsidRDefault="00BE30CB" w:rsidP="00E061DD">
      <w:r w:rsidRPr="00CF1CAB">
        <w:t>Krav til vedlikeholdsstandard på GS-veger er fastsatt i vedlikeholdsstandard for Statens vegvesen (</w:t>
      </w:r>
      <w:r w:rsidR="00E061DD">
        <w:t xml:space="preserve">håndbok </w:t>
      </w:r>
      <w:r w:rsidRPr="00CF1CAB">
        <w:t>R610, 20</w:t>
      </w:r>
      <w:r w:rsidR="00E061DD">
        <w:t>24</w:t>
      </w:r>
      <w:r w:rsidRPr="00CF1CAB">
        <w:t xml:space="preserve">). </w:t>
      </w:r>
    </w:p>
    <w:p w14:paraId="3FC8F221" w14:textId="41154947" w:rsidR="00BE30CB" w:rsidRPr="00CF1CAB" w:rsidRDefault="00BE30CB" w:rsidP="00E061DD">
      <w:r w:rsidRPr="00CF1CAB">
        <w:t xml:space="preserve">Kommunen kan </w:t>
      </w:r>
      <w:r w:rsidR="00E061DD">
        <w:t xml:space="preserve">ha egne veiledere, både for utforming av sykkelløsninger på kommunale veger og drift og </w:t>
      </w:r>
      <w:r w:rsidRPr="00CF1CAB">
        <w:t>vedlikehold</w:t>
      </w:r>
      <w:r w:rsidR="00E061DD">
        <w:t xml:space="preserve"> av kommunale veger</w:t>
      </w:r>
      <w:r w:rsidRPr="00CF1CAB">
        <w:t>.</w:t>
      </w:r>
    </w:p>
    <w:p w14:paraId="1AFDC318" w14:textId="77777777" w:rsidR="00BE30CB" w:rsidRPr="00CF1CAB" w:rsidRDefault="00BE30CB" w:rsidP="00BE30CB">
      <w:pPr>
        <w:pStyle w:val="Overskrift3"/>
        <w:numPr>
          <w:ilvl w:val="0"/>
          <w:numId w:val="0"/>
        </w:numPr>
        <w:ind w:left="576" w:hanging="576"/>
        <w:rPr>
          <w:rFonts w:eastAsiaTheme="minorHAnsi"/>
        </w:rPr>
      </w:pPr>
      <w:r w:rsidRPr="00CF1CAB">
        <w:rPr>
          <w:rFonts w:eastAsiaTheme="minorHAnsi"/>
        </w:rPr>
        <w:t>Ansvar for gjennomføring av tiltaket</w:t>
      </w:r>
    </w:p>
    <w:p w14:paraId="143220CD" w14:textId="0AEC43C8" w:rsidR="00BE30CB" w:rsidRPr="00CF1CAB" w:rsidRDefault="00BE30CB" w:rsidP="00E061DD">
      <w:r w:rsidRPr="00CF1CAB">
        <w:t xml:space="preserve">Vedtak om bygging av </w:t>
      </w:r>
      <w:r w:rsidR="00E061DD">
        <w:t xml:space="preserve">infrastruktur for syklister </w:t>
      </w:r>
      <w:r w:rsidRPr="00CF1CAB">
        <w:t>treffes av politiske myndigheter ved godkjenning av reguleringsplaner for slike veger og ved årlige budsjettvedtak for offentlige veger. Kommunen er ansvarlig for å godkjenne reguleringsplaner. Oppmerkingstiltak behandles normalt ikke politisk.</w:t>
      </w:r>
    </w:p>
    <w:p w14:paraId="62210AF9" w14:textId="7265C4E7" w:rsidR="00BE30CB" w:rsidRPr="00CF1CAB" w:rsidRDefault="00BE30CB" w:rsidP="00E061DD">
      <w:r w:rsidRPr="00CF1CAB">
        <w:t xml:space="preserve">Kostnader til bygging av </w:t>
      </w:r>
      <w:r w:rsidR="00E061DD">
        <w:t xml:space="preserve">sykkelløsninger </w:t>
      </w:r>
      <w:r w:rsidRPr="00CF1CAB">
        <w:t>dekkes av vegmyndighet. Det vil si staten for riksveg, fylkeskommunen for fylkesveg og kommunen for kommunal veg. GS-veger langs riksveg er en del av riksvegen. Staten dekker vedlikeholdskostnader til GS-veg langs riksveg.</w:t>
      </w:r>
    </w:p>
    <w:p w14:paraId="28AEDCA2" w14:textId="77777777" w:rsidR="00BE30CB" w:rsidRDefault="00BE30CB" w:rsidP="00BE30CB">
      <w:pPr>
        <w:pStyle w:val="Overskrift1"/>
        <w:ind w:left="851" w:hanging="851"/>
        <w:rPr>
          <w:rFonts w:eastAsiaTheme="minorHAnsi"/>
          <w:lang w:val="de-DE"/>
        </w:rPr>
      </w:pPr>
      <w:bookmarkStart w:id="105" w:name="anchor_21674-112"/>
      <w:bookmarkStart w:id="106" w:name="_Toc206753766"/>
      <w:bookmarkEnd w:id="105"/>
      <w:proofErr w:type="spellStart"/>
      <w:r w:rsidRPr="00BE30CB">
        <w:rPr>
          <w:rFonts w:eastAsiaTheme="minorHAnsi"/>
          <w:lang w:val="de-DE"/>
        </w:rPr>
        <w:t>Referanser</w:t>
      </w:r>
      <w:bookmarkEnd w:id="106"/>
      <w:proofErr w:type="spellEnd"/>
    </w:p>
    <w:p w14:paraId="77FE2982" w14:textId="77777777" w:rsidR="00202C94" w:rsidRDefault="00202C94" w:rsidP="00202C94">
      <w:pPr>
        <w:pStyle w:val="Ref"/>
      </w:pPr>
      <w:r w:rsidRPr="00263CEF">
        <w:t xml:space="preserve">Abbasi, S., &amp; Ko, J. (2024). </w:t>
      </w:r>
      <w:r w:rsidRPr="00096C1B">
        <w:t>Cycling safely: examining the factors associated with bicycle accidents in Seoul, South Korea. </w:t>
      </w:r>
      <w:r w:rsidRPr="00096C1B">
        <w:rPr>
          <w:i/>
          <w:iCs/>
        </w:rPr>
        <w:t>Accident Analysis &amp; Prevention</w:t>
      </w:r>
      <w:r w:rsidRPr="00096C1B">
        <w:t>, </w:t>
      </w:r>
      <w:r w:rsidRPr="00096C1B">
        <w:rPr>
          <w:i/>
          <w:iCs/>
        </w:rPr>
        <w:t>206</w:t>
      </w:r>
      <w:r w:rsidRPr="00096C1B">
        <w:t>, 107691.</w:t>
      </w:r>
    </w:p>
    <w:p w14:paraId="49C746AD" w14:textId="77777777" w:rsidR="001159DF" w:rsidRDefault="001159DF" w:rsidP="00202C94">
      <w:pPr>
        <w:pStyle w:val="Ref"/>
      </w:pPr>
      <w:r w:rsidRPr="00723AC1">
        <w:t xml:space="preserve">Abdel-Aty, M., Lee, C., Park, J., Wang, J., </w:t>
      </w:r>
      <w:proofErr w:type="spellStart"/>
      <w:r w:rsidRPr="00723AC1">
        <w:t>Abuzwidah</w:t>
      </w:r>
      <w:proofErr w:type="spellEnd"/>
      <w:r w:rsidRPr="00723AC1">
        <w:t xml:space="preserve">, M., &amp; Al-Arifi, S. (2014). </w:t>
      </w:r>
      <w:r w:rsidRPr="00CF1CAB">
        <w:t>Validation and Application of Highway Safety Manual (Part D) in Florida. Florida Department of Transportation.</w:t>
      </w:r>
    </w:p>
    <w:p w14:paraId="2B23F842" w14:textId="13BD0C93" w:rsidR="0016097D" w:rsidRPr="0016097D" w:rsidRDefault="0016097D" w:rsidP="00202C94">
      <w:pPr>
        <w:pStyle w:val="Ref"/>
      </w:pPr>
      <w:r w:rsidRPr="00723AC1">
        <w:t xml:space="preserve">Agerholm, N., Caspersen, S., &amp; Lahrmann, H. (2008). </w:t>
      </w:r>
      <w:r w:rsidRPr="0016097D">
        <w:t>Traffic safety on bicycle paths: Results from a new large scale Danish study.</w:t>
      </w:r>
    </w:p>
    <w:p w14:paraId="621D61C8" w14:textId="77777777" w:rsidR="00202C94" w:rsidRPr="00723AC1" w:rsidRDefault="00202C94" w:rsidP="00202C94">
      <w:pPr>
        <w:pStyle w:val="Ref"/>
        <w:rPr>
          <w:lang w:val="de-DE"/>
        </w:rPr>
      </w:pPr>
      <w:r w:rsidRPr="00C06D30">
        <w:t>Aldred, R., Goodman, A., Gulliver, J., &amp; Woodcock, J. (2018). Cycling injury risk in London: A case-control study exploring the impact of cycle volumes, motor vehicle volumes, and road characteristics including speed limits. </w:t>
      </w:r>
      <w:proofErr w:type="spellStart"/>
      <w:r w:rsidRPr="00723AC1">
        <w:rPr>
          <w:i/>
          <w:iCs/>
          <w:lang w:val="de-DE"/>
        </w:rPr>
        <w:t>Accident</w:t>
      </w:r>
      <w:proofErr w:type="spellEnd"/>
      <w:r w:rsidRPr="00723AC1">
        <w:rPr>
          <w:i/>
          <w:iCs/>
          <w:lang w:val="de-DE"/>
        </w:rPr>
        <w:t xml:space="preserve"> Analysis &amp; </w:t>
      </w:r>
      <w:proofErr w:type="spellStart"/>
      <w:r w:rsidRPr="00723AC1">
        <w:rPr>
          <w:i/>
          <w:iCs/>
          <w:lang w:val="de-DE"/>
        </w:rPr>
        <w:t>Prevention</w:t>
      </w:r>
      <w:proofErr w:type="spellEnd"/>
      <w:r w:rsidRPr="00723AC1">
        <w:rPr>
          <w:lang w:val="de-DE"/>
        </w:rPr>
        <w:t>, </w:t>
      </w:r>
      <w:r w:rsidRPr="00723AC1">
        <w:rPr>
          <w:i/>
          <w:iCs/>
          <w:lang w:val="de-DE"/>
        </w:rPr>
        <w:t>117</w:t>
      </w:r>
      <w:r w:rsidRPr="00723AC1">
        <w:rPr>
          <w:lang w:val="de-DE"/>
        </w:rPr>
        <w:t>, 75-84.</w:t>
      </w:r>
    </w:p>
    <w:p w14:paraId="5A70B371" w14:textId="77777777" w:rsidR="001159DF" w:rsidRPr="00723AC1" w:rsidRDefault="001159DF" w:rsidP="00202C94">
      <w:pPr>
        <w:pStyle w:val="Ref"/>
        <w:rPr>
          <w:lang w:val="de-DE"/>
        </w:rPr>
      </w:pPr>
      <w:r w:rsidRPr="00723AC1">
        <w:rPr>
          <w:lang w:val="de-DE"/>
        </w:rPr>
        <w:t xml:space="preserve">Alrutz, D., Angenendt, W., Draeger, W., &amp; Gündel, D. (2002). Verkehrssicherheit in Einbahnstraßen mit </w:t>
      </w:r>
      <w:proofErr w:type="spellStart"/>
      <w:r w:rsidRPr="00723AC1">
        <w:rPr>
          <w:lang w:val="de-DE"/>
        </w:rPr>
        <w:t>gegengerichtetem</w:t>
      </w:r>
      <w:proofErr w:type="spellEnd"/>
      <w:r w:rsidRPr="00723AC1">
        <w:rPr>
          <w:lang w:val="de-DE"/>
        </w:rPr>
        <w:t xml:space="preserve"> Radverkehr. Straßenverkehrstechnik, 6/2002.</w:t>
      </w:r>
    </w:p>
    <w:p w14:paraId="5FD320A2" w14:textId="77777777" w:rsidR="001159DF" w:rsidRDefault="001159DF" w:rsidP="00202C94">
      <w:pPr>
        <w:pStyle w:val="Ref"/>
      </w:pPr>
      <w:r w:rsidRPr="00723AC1">
        <w:rPr>
          <w:lang w:val="de-DE"/>
        </w:rPr>
        <w:t xml:space="preserve">Andersen, T., Nielsen, M. A., &amp; Olesen, S. (2004). </w:t>
      </w:r>
      <w:proofErr w:type="spellStart"/>
      <w:r w:rsidRPr="00723AC1">
        <w:rPr>
          <w:lang w:val="de-DE"/>
        </w:rPr>
        <w:t>Cyklister</w:t>
      </w:r>
      <w:proofErr w:type="spellEnd"/>
      <w:r w:rsidRPr="00723AC1">
        <w:rPr>
          <w:lang w:val="de-DE"/>
        </w:rPr>
        <w:t xml:space="preserve"> i </w:t>
      </w:r>
      <w:proofErr w:type="spellStart"/>
      <w:r w:rsidRPr="00723AC1">
        <w:rPr>
          <w:lang w:val="de-DE"/>
        </w:rPr>
        <w:t>kryds</w:t>
      </w:r>
      <w:proofErr w:type="spellEnd"/>
      <w:r w:rsidRPr="00723AC1">
        <w:rPr>
          <w:lang w:val="de-DE"/>
        </w:rPr>
        <w:t xml:space="preserve">. </w:t>
      </w:r>
      <w:r w:rsidRPr="00CF1CAB">
        <w:t xml:space="preserve">Dansk </w:t>
      </w:r>
      <w:proofErr w:type="spellStart"/>
      <w:r w:rsidRPr="00CF1CAB">
        <w:t>Vejtidsrift</w:t>
      </w:r>
      <w:proofErr w:type="spellEnd"/>
      <w:r w:rsidRPr="00CF1CAB">
        <w:t>, Oktober 2004, 18-19.</w:t>
      </w:r>
    </w:p>
    <w:p w14:paraId="578608EB" w14:textId="4C110F63" w:rsidR="00202C94" w:rsidRPr="00CF1CAB" w:rsidRDefault="00202C94" w:rsidP="00202C94">
      <w:pPr>
        <w:pStyle w:val="Ref"/>
      </w:pPr>
      <w:proofErr w:type="spellStart"/>
      <w:r w:rsidRPr="00444D58">
        <w:lastRenderedPageBreak/>
        <w:t>Asgarzadeh</w:t>
      </w:r>
      <w:proofErr w:type="spellEnd"/>
      <w:r w:rsidRPr="00444D58">
        <w:t xml:space="preserve">, M., Verma, S., </w:t>
      </w:r>
      <w:proofErr w:type="spellStart"/>
      <w:r w:rsidRPr="00444D58">
        <w:t>Mekary</w:t>
      </w:r>
      <w:proofErr w:type="spellEnd"/>
      <w:r w:rsidRPr="00444D58">
        <w:t>, R. A., Courtney, T. K., &amp; Christiani, D. C. (2017). The role of intersection and street design on severity of bicycle-motor vehicle crashes. </w:t>
      </w:r>
      <w:r w:rsidRPr="00444D58">
        <w:rPr>
          <w:i/>
          <w:iCs/>
        </w:rPr>
        <w:t>Injury prevention</w:t>
      </w:r>
      <w:r w:rsidRPr="00444D58">
        <w:t>, </w:t>
      </w:r>
      <w:r w:rsidRPr="00444D58">
        <w:rPr>
          <w:i/>
          <w:iCs/>
        </w:rPr>
        <w:t>23</w:t>
      </w:r>
      <w:r w:rsidRPr="00444D58">
        <w:t>(3), 179-185.</w:t>
      </w:r>
    </w:p>
    <w:p w14:paraId="19B6F47C" w14:textId="77777777" w:rsidR="001159DF" w:rsidRPr="00CF1CAB" w:rsidRDefault="001159DF" w:rsidP="00202C94">
      <w:pPr>
        <w:pStyle w:val="Ref"/>
      </w:pPr>
      <w:r w:rsidRPr="00CF1CAB">
        <w:t>Aultman-Hall, L., &amp; Adams, M. F. (1998). Sidewalk Bicycling Safety Issues. Transportation Research Record, 1636, 71-76.</w:t>
      </w:r>
    </w:p>
    <w:p w14:paraId="1ACE0327" w14:textId="77777777" w:rsidR="001159DF" w:rsidRPr="009A54BF" w:rsidRDefault="001159DF" w:rsidP="00202C94">
      <w:pPr>
        <w:pStyle w:val="Ref"/>
      </w:pPr>
      <w:r w:rsidRPr="00723AC1">
        <w:t>Aultman-Hall, L., &amp; Hall, F. L. (1998). </w:t>
      </w:r>
      <w:r w:rsidRPr="00CF1CAB">
        <w:t xml:space="preserve">Ottawa-Carleton commuter cyclist on-and off-road incident rates. </w:t>
      </w:r>
      <w:r w:rsidRPr="009A54BF">
        <w:t>Accident Analysis &amp; Prevention, 30(1), 29-43.</w:t>
      </w:r>
    </w:p>
    <w:p w14:paraId="121D4368" w14:textId="77777777" w:rsidR="001159DF" w:rsidRDefault="001159DF" w:rsidP="00202C94">
      <w:pPr>
        <w:pStyle w:val="Ref"/>
      </w:pPr>
      <w:r w:rsidRPr="009A54BF">
        <w:t xml:space="preserve">Berggrein, B., &amp; Bach, U. (2007). </w:t>
      </w:r>
      <w:proofErr w:type="spellStart"/>
      <w:r w:rsidRPr="009A54BF">
        <w:t>Uheldsevaluering</w:t>
      </w:r>
      <w:proofErr w:type="spellEnd"/>
      <w:r w:rsidRPr="009A54BF">
        <w:t xml:space="preserve"> </w:t>
      </w:r>
      <w:proofErr w:type="spellStart"/>
      <w:r w:rsidRPr="009A54BF">
        <w:t>af</w:t>
      </w:r>
      <w:proofErr w:type="spellEnd"/>
      <w:r w:rsidRPr="009A54BF">
        <w:t xml:space="preserve"> </w:t>
      </w:r>
      <w:proofErr w:type="spellStart"/>
      <w:r w:rsidRPr="009A54BF">
        <w:t>cykelsymboler</w:t>
      </w:r>
      <w:proofErr w:type="spellEnd"/>
      <w:r w:rsidRPr="009A54BF">
        <w:t xml:space="preserve"> </w:t>
      </w:r>
      <w:proofErr w:type="spellStart"/>
      <w:r w:rsidRPr="009A54BF">
        <w:t>og</w:t>
      </w:r>
      <w:proofErr w:type="spellEnd"/>
      <w:r w:rsidRPr="009A54BF">
        <w:t xml:space="preserve"> </w:t>
      </w:r>
      <w:proofErr w:type="spellStart"/>
      <w:r w:rsidRPr="009A54BF">
        <w:t>harlekinmønster</w:t>
      </w:r>
      <w:proofErr w:type="spellEnd"/>
      <w:r w:rsidRPr="009A54BF">
        <w:t>. </w:t>
      </w:r>
      <w:r w:rsidRPr="00CF1CAB">
        <w:t xml:space="preserve">Dansk </w:t>
      </w:r>
      <w:proofErr w:type="spellStart"/>
      <w:r w:rsidRPr="00CF1CAB">
        <w:t>Vejtidsrift</w:t>
      </w:r>
      <w:proofErr w:type="spellEnd"/>
      <w:r w:rsidRPr="00CF1CAB">
        <w:t>, April 2007, 40-41.</w:t>
      </w:r>
    </w:p>
    <w:p w14:paraId="0C984C8C" w14:textId="49BD4C22" w:rsidR="00202C94" w:rsidRPr="0055128F" w:rsidRDefault="00202C94" w:rsidP="00202C94">
      <w:pPr>
        <w:pStyle w:val="Ref"/>
      </w:pPr>
      <w:r w:rsidRPr="007B1664">
        <w:t>Bhatia, D., Richmond, S. A., Loo, C. J., Rothman, L., Macarthur, C., &amp; Howard, A. (2016). Examining the impact of cycle lanes on cyclist-motor vehicle collisions in the city of Toronto. </w:t>
      </w:r>
      <w:r w:rsidRPr="0055128F">
        <w:rPr>
          <w:i/>
          <w:iCs/>
        </w:rPr>
        <w:t>Journal of Transport &amp; Health</w:t>
      </w:r>
      <w:r w:rsidRPr="0055128F">
        <w:t>, </w:t>
      </w:r>
      <w:r w:rsidRPr="0055128F">
        <w:rPr>
          <w:i/>
          <w:iCs/>
        </w:rPr>
        <w:t>3</w:t>
      </w:r>
      <w:r w:rsidRPr="0055128F">
        <w:t>(4), 523-528.</w:t>
      </w:r>
    </w:p>
    <w:p w14:paraId="61188D66" w14:textId="7AEAA710" w:rsidR="00BC36AF" w:rsidRPr="00BC36AF" w:rsidRDefault="00BC36AF" w:rsidP="001159DF">
      <w:pPr>
        <w:ind w:left="709" w:hanging="709"/>
      </w:pPr>
      <w:r w:rsidRPr="0055128F">
        <w:rPr>
          <w:lang w:val="en-US"/>
        </w:rPr>
        <w:t xml:space="preserve">Bjerkan, A.M., Engebretsen, A. &amp; Steinbakk, R.T. (2021). </w:t>
      </w:r>
      <w:r w:rsidRPr="00BC36AF">
        <w:t>Skader på sykkel og elektrisk sparkesykkel</w:t>
      </w:r>
      <w:r>
        <w:t xml:space="preserve"> i Oslo - </w:t>
      </w:r>
      <w:r w:rsidRPr="00BC36AF">
        <w:t>Resultater fra en registrering i 2019/2020</w:t>
      </w:r>
      <w:r>
        <w:t xml:space="preserve">. Statens vegvesens rapporter, Nr. 720. </w:t>
      </w:r>
    </w:p>
    <w:p w14:paraId="4B3A3888" w14:textId="57AB48E6" w:rsidR="001159DF" w:rsidRDefault="001159DF" w:rsidP="001159DF">
      <w:pPr>
        <w:ind w:left="709" w:hanging="709"/>
      </w:pPr>
      <w:r w:rsidRPr="00C812D5">
        <w:t xml:space="preserve">Bjørnskau, T. (2021). Trafikksikkerhet for syklister og fotgjengere – status og utfordringer. </w:t>
      </w:r>
      <w:r>
        <w:t xml:space="preserve">TØI-Rapport 1844/2021. </w:t>
      </w:r>
    </w:p>
    <w:p w14:paraId="1397A96D" w14:textId="77777777" w:rsidR="001159DF" w:rsidRPr="00723AC1" w:rsidRDefault="001159DF" w:rsidP="00202C94">
      <w:pPr>
        <w:pStyle w:val="Ref"/>
        <w:rPr>
          <w:lang w:val="nb-NO"/>
        </w:rPr>
      </w:pPr>
      <w:r w:rsidRPr="00723AC1">
        <w:rPr>
          <w:lang w:val="nb-NO"/>
        </w:rPr>
        <w:t>Bjørnskau, T., Fyhri, A. &amp; Sørensen, M.W.J. (2012). Sykling mot enveiskjøring. Effekter av å tillate toveis sykling i enveisregulerte gater i Oslo. TØI-Rapport 1237/2012. Oslo: Transportøkonomisk institutt.</w:t>
      </w:r>
    </w:p>
    <w:p w14:paraId="3C4B8347" w14:textId="77777777" w:rsidR="001159DF" w:rsidRPr="00EE1921" w:rsidRDefault="001159DF" w:rsidP="001159DF">
      <w:pPr>
        <w:ind w:left="709" w:hanging="709"/>
      </w:pPr>
      <w:r w:rsidRPr="001159DF">
        <w:t xml:space="preserve">Bjørnskau, T., Hagen, O.H., Johansson, O.J. (2017). </w:t>
      </w:r>
      <w:r w:rsidRPr="00A72BCC">
        <w:t xml:space="preserve">Sykling i gågater. Trafikkomfang, samhandling og konflikter mellom syklister og fotgjengere i Torggata og Brugata i Oslo. </w:t>
      </w:r>
      <w:r w:rsidRPr="00EE1921">
        <w:t>TØI-rapport 1581/2017. Oslo: Transportøkonomisk institutt.</w:t>
      </w:r>
    </w:p>
    <w:p w14:paraId="34AAE35B" w14:textId="77777777" w:rsidR="001159DF" w:rsidRDefault="001159DF" w:rsidP="00202C94">
      <w:pPr>
        <w:pStyle w:val="Ref"/>
      </w:pPr>
      <w:proofErr w:type="spellStart"/>
      <w:r w:rsidRPr="00723AC1">
        <w:rPr>
          <w:lang w:val="nb-NO"/>
        </w:rPr>
        <w:t>Boufous</w:t>
      </w:r>
      <w:proofErr w:type="spellEnd"/>
      <w:r w:rsidRPr="00723AC1">
        <w:rPr>
          <w:lang w:val="nb-NO"/>
        </w:rPr>
        <w:t xml:space="preserve">, S., de Rome, L., </w:t>
      </w:r>
      <w:proofErr w:type="spellStart"/>
      <w:r w:rsidRPr="00723AC1">
        <w:rPr>
          <w:lang w:val="nb-NO"/>
        </w:rPr>
        <w:t>Senserrick</w:t>
      </w:r>
      <w:proofErr w:type="spellEnd"/>
      <w:r w:rsidRPr="00723AC1">
        <w:rPr>
          <w:lang w:val="nb-NO"/>
        </w:rPr>
        <w:t>, T., &amp; Ivers, R. (2012). </w:t>
      </w:r>
      <w:r w:rsidRPr="00CF1CAB">
        <w:t>Risk factors for severe injury in cyclists involved in traffic crashes in Victoria, Australia. Accident Analysis &amp; Prevention, 49, 404-409.</w:t>
      </w:r>
    </w:p>
    <w:p w14:paraId="62449A88" w14:textId="7CE935DC" w:rsidR="00202C94" w:rsidRPr="00723AC1" w:rsidRDefault="00202C94" w:rsidP="00202C94">
      <w:pPr>
        <w:pStyle w:val="Ref"/>
        <w:rPr>
          <w:lang w:val="da-DK"/>
        </w:rPr>
      </w:pPr>
      <w:r w:rsidRPr="00723AC1">
        <w:t xml:space="preserve">Buch, T. S., &amp; Jensen, S. U. (2017). </w:t>
      </w:r>
      <w:r w:rsidRPr="00A93329">
        <w:t xml:space="preserve">Incidents between straight-ahead cyclists and right-turning motor vehicles at </w:t>
      </w:r>
      <w:proofErr w:type="spellStart"/>
      <w:r w:rsidRPr="00A93329">
        <w:t>signalised</w:t>
      </w:r>
      <w:proofErr w:type="spellEnd"/>
      <w:r w:rsidRPr="00A93329">
        <w:t xml:space="preserve"> junctions. </w:t>
      </w:r>
      <w:r w:rsidRPr="00723AC1">
        <w:rPr>
          <w:i/>
          <w:iCs/>
          <w:lang w:val="da-DK"/>
        </w:rPr>
        <w:t>Accident Analysis &amp; Prevention</w:t>
      </w:r>
      <w:r w:rsidRPr="00723AC1">
        <w:rPr>
          <w:lang w:val="da-DK"/>
        </w:rPr>
        <w:t>, </w:t>
      </w:r>
      <w:r w:rsidRPr="00723AC1">
        <w:rPr>
          <w:i/>
          <w:iCs/>
          <w:lang w:val="da-DK"/>
        </w:rPr>
        <w:t>105</w:t>
      </w:r>
      <w:r w:rsidRPr="00723AC1">
        <w:rPr>
          <w:lang w:val="da-DK"/>
        </w:rPr>
        <w:t>, 44-51.</w:t>
      </w:r>
    </w:p>
    <w:p w14:paraId="3C6FA3D0" w14:textId="77777777" w:rsidR="001159DF" w:rsidRPr="00723AC1" w:rsidRDefault="001159DF" w:rsidP="001159DF">
      <w:pPr>
        <w:ind w:left="709" w:hanging="709"/>
        <w:rPr>
          <w:lang w:val="en-US"/>
        </w:rPr>
      </w:pPr>
      <w:r w:rsidRPr="00723AC1">
        <w:rPr>
          <w:lang w:val="da-DK"/>
        </w:rPr>
        <w:t xml:space="preserve">Buch, T.S. &amp; Jensen, S.U. (2013).  Trafikksikkerhed i kryds med dobbeltrettede cykelstier. </w:t>
      </w:r>
      <w:r w:rsidRPr="00723AC1">
        <w:rPr>
          <w:lang w:val="en-US"/>
        </w:rPr>
        <w:t xml:space="preserve">Lyngby, Danmark: </w:t>
      </w:r>
      <w:proofErr w:type="spellStart"/>
      <w:r w:rsidRPr="00723AC1">
        <w:rPr>
          <w:lang w:val="en-US"/>
        </w:rPr>
        <w:t>Trafitec</w:t>
      </w:r>
      <w:proofErr w:type="spellEnd"/>
      <w:r w:rsidRPr="00723AC1">
        <w:rPr>
          <w:lang w:val="en-US"/>
        </w:rPr>
        <w:t>.</w:t>
      </w:r>
    </w:p>
    <w:p w14:paraId="7EA80F28" w14:textId="77777777" w:rsidR="001159DF" w:rsidRPr="00CF1CAB" w:rsidRDefault="001159DF" w:rsidP="0016097D">
      <w:pPr>
        <w:pStyle w:val="Ref"/>
      </w:pPr>
      <w:r w:rsidRPr="00CF1CAB">
        <w:t>Buckley, A., &amp; Wilke, A. (2000). Cycle Lane Performance: Road Safety Effects. Paper presented at the New Zealand Cycling Symposium.</w:t>
      </w:r>
    </w:p>
    <w:p w14:paraId="105A667F" w14:textId="77777777" w:rsidR="001159DF" w:rsidRPr="00723AC1" w:rsidRDefault="001159DF" w:rsidP="001159DF">
      <w:pPr>
        <w:ind w:left="709" w:hanging="709"/>
        <w:rPr>
          <w:lang w:val="en-US"/>
        </w:rPr>
      </w:pPr>
      <w:proofErr w:type="spellStart"/>
      <w:r w:rsidRPr="00723AC1">
        <w:rPr>
          <w:lang w:val="en-US"/>
        </w:rPr>
        <w:t>Bymiljøetaten</w:t>
      </w:r>
      <w:proofErr w:type="spellEnd"/>
      <w:r w:rsidRPr="00723AC1">
        <w:rPr>
          <w:lang w:val="en-US"/>
        </w:rPr>
        <w:t xml:space="preserve"> (2020). </w:t>
      </w:r>
      <w:proofErr w:type="spellStart"/>
      <w:r w:rsidRPr="00723AC1">
        <w:rPr>
          <w:lang w:val="en-US"/>
        </w:rPr>
        <w:t>Gatenormal</w:t>
      </w:r>
      <w:proofErr w:type="spellEnd"/>
      <w:r w:rsidRPr="00723AC1">
        <w:rPr>
          <w:lang w:val="en-US"/>
        </w:rPr>
        <w:t xml:space="preserve"> for Oslo.</w:t>
      </w:r>
    </w:p>
    <w:p w14:paraId="4027F451" w14:textId="57D4AE27" w:rsidR="00202C94" w:rsidRPr="00723AC1" w:rsidRDefault="00202C94" w:rsidP="001159DF">
      <w:pPr>
        <w:ind w:left="709" w:hanging="709"/>
        <w:rPr>
          <w:lang w:val="da-DK"/>
        </w:rPr>
      </w:pPr>
      <w:r w:rsidRPr="00B94B9C">
        <w:rPr>
          <w:lang w:val="en-US"/>
        </w:rPr>
        <w:t>Cai, Q., Abdel-Aty, M., &amp; Castro, S. (2021). Explore effects of bicycle facilities and exposure on bicycle safety at intersections. </w:t>
      </w:r>
      <w:r w:rsidRPr="00723AC1">
        <w:rPr>
          <w:i/>
          <w:iCs/>
          <w:lang w:val="da-DK"/>
        </w:rPr>
        <w:t>International journal of sustainable transportation</w:t>
      </w:r>
      <w:r w:rsidRPr="00723AC1">
        <w:rPr>
          <w:lang w:val="da-DK"/>
        </w:rPr>
        <w:t>, </w:t>
      </w:r>
      <w:r w:rsidRPr="00723AC1">
        <w:rPr>
          <w:i/>
          <w:iCs/>
          <w:lang w:val="da-DK"/>
        </w:rPr>
        <w:t>15</w:t>
      </w:r>
      <w:r w:rsidRPr="00723AC1">
        <w:rPr>
          <w:lang w:val="da-DK"/>
        </w:rPr>
        <w:t>(8), 592-603.</w:t>
      </w:r>
    </w:p>
    <w:p w14:paraId="5E4FBFBF" w14:textId="77777777" w:rsidR="001159DF" w:rsidRPr="00723AC1" w:rsidRDefault="001159DF" w:rsidP="00202C94">
      <w:pPr>
        <w:pStyle w:val="Ref"/>
        <w:rPr>
          <w:lang w:val="da-DK"/>
        </w:rPr>
      </w:pPr>
      <w:r w:rsidRPr="00723AC1">
        <w:rPr>
          <w:lang w:val="da-DK"/>
        </w:rPr>
        <w:t>Celis, P. (1999). Sikkerhed for cyklister i kryds. Afgangsprojekt ved Aalborg Universitet, Institut for samfundsudvikling og Planlægning, Aalborg.</w:t>
      </w:r>
    </w:p>
    <w:p w14:paraId="493C1CE5" w14:textId="4563DB82" w:rsidR="0016097D" w:rsidRDefault="0016097D" w:rsidP="00202C94">
      <w:pPr>
        <w:pStyle w:val="Ref"/>
      </w:pPr>
      <w:r w:rsidRPr="0016097D">
        <w:t>Chen, L., Chen, C., Ewing, R., McKnight, C. E., Srinivasan, R., &amp; Roe, M. (2013). Safety countermeasures and crash reduction in New York City—Experience and lessons learned. </w:t>
      </w:r>
      <w:r w:rsidRPr="0016097D">
        <w:rPr>
          <w:i/>
          <w:iCs/>
        </w:rPr>
        <w:t>Accident Analysis &amp; Prevention</w:t>
      </w:r>
      <w:r w:rsidRPr="0016097D">
        <w:t>, </w:t>
      </w:r>
      <w:r w:rsidRPr="0016097D">
        <w:rPr>
          <w:i/>
          <w:iCs/>
        </w:rPr>
        <w:t>50</w:t>
      </w:r>
      <w:r w:rsidRPr="0016097D">
        <w:t>, 312-322.</w:t>
      </w:r>
    </w:p>
    <w:p w14:paraId="1E8FF51B" w14:textId="13BAE155" w:rsidR="00202C94" w:rsidRPr="00202C94" w:rsidRDefault="00202C94" w:rsidP="00202C94">
      <w:pPr>
        <w:pStyle w:val="Ref"/>
        <w:rPr>
          <w:color w:val="FF0000"/>
        </w:rPr>
      </w:pPr>
      <w:r w:rsidRPr="00263CEF">
        <w:t xml:space="preserve">Cicchino, J. B., McCarthy, M. L., Newgard, C. D., Wall, S. P., DiMaggio, C. J., </w:t>
      </w:r>
      <w:proofErr w:type="spellStart"/>
      <w:r w:rsidRPr="00263CEF">
        <w:t>Kulie</w:t>
      </w:r>
      <w:proofErr w:type="spellEnd"/>
      <w:r w:rsidRPr="00263CEF">
        <w:t xml:space="preserve">, P. E., ... </w:t>
      </w:r>
      <w:r w:rsidRPr="0091237D">
        <w:t>&amp; Zuby, D. S. (2020). Not all protected bike lanes are the same: Infrastructure and risk of cyclist collisions and falls leading to emergency department visits in three US cities. </w:t>
      </w:r>
      <w:r w:rsidRPr="0091237D">
        <w:rPr>
          <w:i/>
          <w:iCs/>
        </w:rPr>
        <w:t>Accident Analysis &amp; Prevention</w:t>
      </w:r>
      <w:r w:rsidRPr="0091237D">
        <w:t>, </w:t>
      </w:r>
      <w:r w:rsidRPr="0091237D">
        <w:rPr>
          <w:i/>
          <w:iCs/>
        </w:rPr>
        <w:t>141</w:t>
      </w:r>
      <w:r w:rsidRPr="0091237D">
        <w:t>, 105490.</w:t>
      </w:r>
    </w:p>
    <w:p w14:paraId="00B08139" w14:textId="77777777" w:rsidR="001159DF" w:rsidRPr="00CF1CAB" w:rsidRDefault="001159DF" w:rsidP="00202C94">
      <w:pPr>
        <w:pStyle w:val="Ref"/>
      </w:pPr>
      <w:proofErr w:type="spellStart"/>
      <w:r w:rsidRPr="00CF1CAB">
        <w:lastRenderedPageBreak/>
        <w:t>Cripton</w:t>
      </w:r>
      <w:proofErr w:type="spellEnd"/>
      <w:r w:rsidRPr="00CF1CAB">
        <w:t>, P. A., Shen, H., Brubacher, J. R., Chipman, M., Friedman, S. M., Harris, M. A., . . . Teschke, K. (2015). Severity of urban cycling injuries and the relationship with personal, trip, route and crash characteristics: analyses using four severity metrics. BMJ Open, 5(1).</w:t>
      </w:r>
    </w:p>
    <w:p w14:paraId="1A4FBF97" w14:textId="77777777" w:rsidR="00202C94" w:rsidRDefault="00202C94" w:rsidP="00202C94">
      <w:pPr>
        <w:pStyle w:val="Ref"/>
      </w:pPr>
      <w:proofErr w:type="spellStart"/>
      <w:r w:rsidRPr="00504734">
        <w:t>Dadashova</w:t>
      </w:r>
      <w:proofErr w:type="spellEnd"/>
      <w:r w:rsidRPr="00504734">
        <w:t>, B., Dixon, K., Hudson, J., Benz, R., Dai, B., Li, X., ... &amp; Sarda, S. (2022). </w:t>
      </w:r>
      <w:r w:rsidRPr="00504734">
        <w:rPr>
          <w:i/>
          <w:iCs/>
        </w:rPr>
        <w:t>Addressing Bicyclist Safety through the Development of Crash Modification Factors for Bikeways</w:t>
      </w:r>
      <w:r w:rsidRPr="00504734">
        <w:t> (No. FHWA/TX-22/0-7043-R1). Texas A&amp;M Transportation Institute.</w:t>
      </w:r>
    </w:p>
    <w:p w14:paraId="144B4087" w14:textId="77777777" w:rsidR="001159DF" w:rsidRPr="00CF1CAB" w:rsidRDefault="001159DF" w:rsidP="00202C94">
      <w:pPr>
        <w:pStyle w:val="Ref"/>
      </w:pPr>
      <w:r w:rsidRPr="00723AC1">
        <w:t xml:space="preserve">Daniels, S., </w:t>
      </w:r>
      <w:proofErr w:type="spellStart"/>
      <w:r w:rsidRPr="00723AC1">
        <w:t>Brijs</w:t>
      </w:r>
      <w:proofErr w:type="spellEnd"/>
      <w:r w:rsidRPr="00723AC1">
        <w:t xml:space="preserve">, T., </w:t>
      </w:r>
      <w:proofErr w:type="spellStart"/>
      <w:r w:rsidRPr="00723AC1">
        <w:t>Nuyts</w:t>
      </w:r>
      <w:proofErr w:type="spellEnd"/>
      <w:r w:rsidRPr="00723AC1">
        <w:t xml:space="preserve">, E. &amp; Wets, G. (2009). </w:t>
      </w:r>
      <w:r w:rsidRPr="00CF1CAB">
        <w:t>Injury crashes with bicyclists at roundabouts: influence of some location characteristics and the design of cycle facilities. Journal of Safety Research, 40(2), 141-8.</w:t>
      </w:r>
    </w:p>
    <w:p w14:paraId="7FFBEFD5" w14:textId="77777777" w:rsidR="001159DF" w:rsidRPr="00723AC1" w:rsidRDefault="001159DF" w:rsidP="00202C94">
      <w:pPr>
        <w:pStyle w:val="Ref"/>
      </w:pPr>
      <w:r w:rsidRPr="00CF1CAB">
        <w:t xml:space="preserve">De Rome, L., </w:t>
      </w:r>
      <w:proofErr w:type="spellStart"/>
      <w:r w:rsidRPr="00CF1CAB">
        <w:t>Boufous</w:t>
      </w:r>
      <w:proofErr w:type="spellEnd"/>
      <w:r w:rsidRPr="00CF1CAB">
        <w:t xml:space="preserve">, S., Georgeson, T., </w:t>
      </w:r>
      <w:proofErr w:type="spellStart"/>
      <w:r w:rsidRPr="00CF1CAB">
        <w:t>Senserrick</w:t>
      </w:r>
      <w:proofErr w:type="spellEnd"/>
      <w:r w:rsidRPr="00CF1CAB">
        <w:t xml:space="preserve">, T., Richardson, D., &amp; Ivers, R. (2013). Bicycle Crashes in Different Riding Environments in the Australian Capital Territory. </w:t>
      </w:r>
      <w:r w:rsidRPr="00723AC1">
        <w:t>Traffic Injury Prevention, 15(1), 81-88.</w:t>
      </w:r>
    </w:p>
    <w:p w14:paraId="0A6D9D2B" w14:textId="2A332808" w:rsidR="00202C94" w:rsidRPr="001159DF" w:rsidRDefault="00202C94" w:rsidP="00202C94">
      <w:pPr>
        <w:pStyle w:val="Ref"/>
        <w:rPr>
          <w:lang w:val="da-DK"/>
        </w:rPr>
      </w:pPr>
      <w:proofErr w:type="spellStart"/>
      <w:r w:rsidRPr="009D7BF3">
        <w:t>Deliali</w:t>
      </w:r>
      <w:proofErr w:type="spellEnd"/>
      <w:r w:rsidRPr="009D7BF3">
        <w:t xml:space="preserve">, A., Fournier, N., </w:t>
      </w:r>
      <w:proofErr w:type="spellStart"/>
      <w:r w:rsidRPr="009D7BF3">
        <w:t>Christofa</w:t>
      </w:r>
      <w:proofErr w:type="spellEnd"/>
      <w:r w:rsidRPr="009D7BF3">
        <w:t xml:space="preserve">, E., &amp; </w:t>
      </w:r>
      <w:proofErr w:type="spellStart"/>
      <w:r w:rsidRPr="009D7BF3">
        <w:t>Knodler</w:t>
      </w:r>
      <w:proofErr w:type="spellEnd"/>
      <w:r w:rsidRPr="009D7BF3">
        <w:t>, M. (2023). Investigating the safety impact of segment-and intersection-level bicycle treatments on bicycle–motorized vehicle crashes. </w:t>
      </w:r>
      <w:r w:rsidRPr="009D7BF3">
        <w:rPr>
          <w:i/>
          <w:iCs/>
        </w:rPr>
        <w:t>Transportation research record</w:t>
      </w:r>
      <w:r w:rsidRPr="009D7BF3">
        <w:t>, </w:t>
      </w:r>
      <w:r w:rsidRPr="009D7BF3">
        <w:rPr>
          <w:i/>
          <w:iCs/>
        </w:rPr>
        <w:t>2677</w:t>
      </w:r>
      <w:r w:rsidRPr="009D7BF3">
        <w:t>(2), 1315-1330.</w:t>
      </w:r>
    </w:p>
    <w:p w14:paraId="17A942AC" w14:textId="77777777" w:rsidR="001159DF" w:rsidRDefault="001159DF" w:rsidP="00202C94">
      <w:pPr>
        <w:pStyle w:val="Ref"/>
      </w:pPr>
      <w:proofErr w:type="spellStart"/>
      <w:r w:rsidRPr="00CF1CAB">
        <w:t>Dupriez</w:t>
      </w:r>
      <w:proofErr w:type="spellEnd"/>
      <w:r w:rsidRPr="00CF1CAB">
        <w:t>, B. (2009). Contraflow cycling in Belgium and the Brussels Region. </w:t>
      </w:r>
      <w:proofErr w:type="gramStart"/>
      <w:r w:rsidRPr="00CF1CAB">
        <w:t>Velo-City</w:t>
      </w:r>
      <w:proofErr w:type="gramEnd"/>
      <w:r w:rsidRPr="00CF1CAB">
        <w:t xml:space="preserve"> 2009.</w:t>
      </w:r>
    </w:p>
    <w:p w14:paraId="74E6DC7E" w14:textId="57A5C8E1" w:rsidR="00202C94" w:rsidRPr="00723AC1" w:rsidRDefault="00202C94" w:rsidP="00202C94">
      <w:pPr>
        <w:pStyle w:val="Ref"/>
        <w:rPr>
          <w:lang w:val="nb-NO"/>
        </w:rPr>
      </w:pPr>
      <w:proofErr w:type="spellStart"/>
      <w:r w:rsidRPr="006B476E">
        <w:t>Ekmekci</w:t>
      </w:r>
      <w:proofErr w:type="spellEnd"/>
      <w:r w:rsidRPr="006B476E">
        <w:t>, M., Dadashzadeh, N., &amp; Woods, L. (2024). Assessing the impact of low-speed limit zones' policy implications on cyclist safety: evidence from the UK. </w:t>
      </w:r>
      <w:r w:rsidRPr="00723AC1">
        <w:rPr>
          <w:i/>
          <w:iCs/>
          <w:lang w:val="nb-NO"/>
        </w:rPr>
        <w:t>Transport policy</w:t>
      </w:r>
      <w:r w:rsidRPr="00723AC1">
        <w:rPr>
          <w:lang w:val="nb-NO"/>
        </w:rPr>
        <w:t>, </w:t>
      </w:r>
      <w:r w:rsidRPr="00723AC1">
        <w:rPr>
          <w:i/>
          <w:iCs/>
          <w:lang w:val="nb-NO"/>
        </w:rPr>
        <w:t>152</w:t>
      </w:r>
      <w:r w:rsidRPr="00723AC1">
        <w:rPr>
          <w:lang w:val="nb-NO"/>
        </w:rPr>
        <w:t>, 29-39.</w:t>
      </w:r>
    </w:p>
    <w:p w14:paraId="4F8D9660" w14:textId="77777777" w:rsidR="001159DF" w:rsidRPr="00723AC1" w:rsidRDefault="001159DF" w:rsidP="00202C94">
      <w:pPr>
        <w:pStyle w:val="Ref"/>
        <w:rPr>
          <w:lang w:val="nb-NO"/>
        </w:rPr>
      </w:pPr>
      <w:r w:rsidRPr="00723AC1">
        <w:rPr>
          <w:lang w:val="nb-NO"/>
        </w:rPr>
        <w:t>Erke, A., &amp; Sørensen, M. (2008). Inntrukken kantlinje utenfor tettbygd strøk: Tiltak for syklister og gående? TØI Rapport 961/2008. Oslo: Transportøkonomisk institutt.</w:t>
      </w:r>
    </w:p>
    <w:p w14:paraId="68593F14" w14:textId="77777777" w:rsidR="001159DF" w:rsidRPr="00CF1CAB" w:rsidRDefault="001159DF" w:rsidP="00202C94">
      <w:pPr>
        <w:pStyle w:val="Ref"/>
      </w:pPr>
      <w:proofErr w:type="spellStart"/>
      <w:r w:rsidRPr="00723AC1">
        <w:rPr>
          <w:lang w:val="nb-NO"/>
        </w:rPr>
        <w:t>Furth</w:t>
      </w:r>
      <w:proofErr w:type="spellEnd"/>
      <w:r w:rsidRPr="00723AC1">
        <w:rPr>
          <w:lang w:val="nb-NO"/>
        </w:rPr>
        <w:t xml:space="preserve">, P. G., &amp; </w:t>
      </w:r>
      <w:proofErr w:type="spellStart"/>
      <w:r w:rsidRPr="00723AC1">
        <w:rPr>
          <w:lang w:val="nb-NO"/>
        </w:rPr>
        <w:t>Dulaski</w:t>
      </w:r>
      <w:proofErr w:type="spellEnd"/>
      <w:r w:rsidRPr="00723AC1">
        <w:rPr>
          <w:lang w:val="nb-NO"/>
        </w:rPr>
        <w:t>, D. M. (2010). </w:t>
      </w:r>
      <w:r w:rsidRPr="00CF1CAB">
        <w:t>More Than Sharrows: Lane-Within-A-Lane Bicycle Priority Treatments in Three US Cities. Paper presented at the Transportation Research Board 2011 annual meeting, Washington, DC.</w:t>
      </w:r>
    </w:p>
    <w:p w14:paraId="007E0882" w14:textId="77777777" w:rsidR="001159DF" w:rsidRPr="00723AC1" w:rsidRDefault="001159DF" w:rsidP="00202C94">
      <w:pPr>
        <w:pStyle w:val="Ref"/>
        <w:rPr>
          <w:lang w:val="nb-NO"/>
        </w:rPr>
      </w:pPr>
      <w:r w:rsidRPr="00723AC1">
        <w:rPr>
          <w:lang w:val="nb-NO"/>
        </w:rPr>
        <w:t>Fyhri, A., Bjørnskau, T., &amp; Sørensen, M. W. J. (2012). Krig og fred – En spørreundersøkelse om samspill og konflikter mellom biler og sykler. TØI-Rapport 1246/2012. Oslo: Transportøkonomisk institutt.</w:t>
      </w:r>
    </w:p>
    <w:p w14:paraId="7E192144" w14:textId="77777777" w:rsidR="001159DF" w:rsidRPr="00BB34FF" w:rsidRDefault="001159DF" w:rsidP="001159DF">
      <w:pPr>
        <w:ind w:left="709" w:hanging="709"/>
      </w:pPr>
      <w:r w:rsidRPr="001159DF">
        <w:t xml:space="preserve">Fyhri, A., Sagberg, F., Bjørnskau, T., Aasvik, O. &amp; Karlsen, K. (2020). </w:t>
      </w:r>
      <w:proofErr w:type="spellStart"/>
      <w:r w:rsidRPr="001159DF">
        <w:t>SykkelPiloter</w:t>
      </w:r>
      <w:proofErr w:type="spellEnd"/>
      <w:r w:rsidRPr="001159DF">
        <w:t>: Evaluering av tiltaket «</w:t>
      </w:r>
      <w:proofErr w:type="spellStart"/>
      <w:r w:rsidRPr="001159DF">
        <w:t>sharrows</w:t>
      </w:r>
      <w:proofErr w:type="spellEnd"/>
      <w:r w:rsidRPr="001159DF">
        <w:t xml:space="preserve">». </w:t>
      </w:r>
      <w:r w:rsidRPr="00BB34FF">
        <w:t>T</w:t>
      </w:r>
      <w:r>
        <w:t xml:space="preserve">ØI-Rapport 1789/2020. </w:t>
      </w:r>
    </w:p>
    <w:p w14:paraId="251E16D5" w14:textId="77777777" w:rsidR="001159DF" w:rsidRPr="00723AC1" w:rsidRDefault="001159DF" w:rsidP="001159DF">
      <w:pPr>
        <w:ind w:left="709" w:hanging="709"/>
        <w:rPr>
          <w:lang w:val="en-US"/>
        </w:rPr>
      </w:pPr>
      <w:r w:rsidRPr="00C812D5">
        <w:t xml:space="preserve">Fyhri, A., Sundfør, H. B., Bjørnskau, T., &amp; Laureshyn, A. (2017). </w:t>
      </w:r>
      <w:r w:rsidRPr="00E764C0">
        <w:rPr>
          <w:lang w:val="en-US"/>
        </w:rPr>
        <w:t>Safety in numbers for cyclists—conclusions from a multidisciplinary study of seasonal change in interplay and conflicts. </w:t>
      </w:r>
      <w:r w:rsidRPr="00723AC1">
        <w:rPr>
          <w:i/>
          <w:iCs/>
          <w:lang w:val="en-US"/>
        </w:rPr>
        <w:t>Accident Analysis &amp; Prevention</w:t>
      </w:r>
      <w:r w:rsidRPr="00723AC1">
        <w:rPr>
          <w:lang w:val="en-US"/>
        </w:rPr>
        <w:t>, </w:t>
      </w:r>
      <w:r w:rsidRPr="00723AC1">
        <w:rPr>
          <w:i/>
          <w:iCs/>
          <w:lang w:val="en-US"/>
        </w:rPr>
        <w:t>105</w:t>
      </w:r>
      <w:r w:rsidRPr="00723AC1">
        <w:rPr>
          <w:lang w:val="en-US"/>
        </w:rPr>
        <w:t>, 124-133.</w:t>
      </w:r>
    </w:p>
    <w:p w14:paraId="17CC9435" w14:textId="1E5E85A8" w:rsidR="00202C94" w:rsidRPr="00723AC1" w:rsidRDefault="00202C94" w:rsidP="001159DF">
      <w:pPr>
        <w:ind w:left="709" w:hanging="709"/>
        <w:rPr>
          <w:lang w:val="en-US"/>
        </w:rPr>
      </w:pPr>
      <w:r w:rsidRPr="00723AC1">
        <w:rPr>
          <w:lang w:val="en-US"/>
        </w:rPr>
        <w:t xml:space="preserve">Guirao, B., Gálvez-Pérez, D., &amp; Casado-Sanz, N. (2023). </w:t>
      </w:r>
      <w:r w:rsidRPr="00CC17CA">
        <w:rPr>
          <w:lang w:val="en-US"/>
        </w:rPr>
        <w:t>The impact of the cyclist infrastructure type on bike accidents: the experience of Madrid. </w:t>
      </w:r>
      <w:r w:rsidRPr="00723AC1">
        <w:rPr>
          <w:i/>
          <w:iCs/>
          <w:lang w:val="en-US"/>
        </w:rPr>
        <w:t xml:space="preserve">Transportation research </w:t>
      </w:r>
      <w:proofErr w:type="spellStart"/>
      <w:r w:rsidRPr="00723AC1">
        <w:rPr>
          <w:i/>
          <w:iCs/>
          <w:lang w:val="en-US"/>
        </w:rPr>
        <w:t>procedia</w:t>
      </w:r>
      <w:proofErr w:type="spellEnd"/>
      <w:r w:rsidRPr="00723AC1">
        <w:rPr>
          <w:lang w:val="en-US"/>
        </w:rPr>
        <w:t>, </w:t>
      </w:r>
      <w:r w:rsidRPr="00723AC1">
        <w:rPr>
          <w:i/>
          <w:iCs/>
          <w:lang w:val="en-US"/>
        </w:rPr>
        <w:t>71</w:t>
      </w:r>
      <w:r w:rsidRPr="00723AC1">
        <w:rPr>
          <w:lang w:val="en-US"/>
        </w:rPr>
        <w:t>, 403-410.</w:t>
      </w:r>
    </w:p>
    <w:p w14:paraId="61A50EDD" w14:textId="77777777" w:rsidR="001159DF" w:rsidRPr="00723AC1" w:rsidRDefault="001159DF" w:rsidP="00202C94">
      <w:pPr>
        <w:pStyle w:val="Ref"/>
      </w:pPr>
      <w:r w:rsidRPr="00CF1CAB">
        <w:t xml:space="preserve">Hamann, C., &amp; Peek-Asa, C. (2013). On-road bicycle facilities and bicycle crashes in Iowa, 2007-2010. </w:t>
      </w:r>
      <w:r w:rsidRPr="00723AC1">
        <w:t>Accident Analysis &amp; Prevention, 56, 103-109.</w:t>
      </w:r>
    </w:p>
    <w:p w14:paraId="0CD477BE" w14:textId="77777777" w:rsidR="001159DF" w:rsidRDefault="001159DF" w:rsidP="00202C94">
      <w:pPr>
        <w:pStyle w:val="Ref"/>
      </w:pPr>
      <w:r w:rsidRPr="00CF1CAB">
        <w:t xml:space="preserve">Harris, M. A., Reynolds, C. C. O., Winters, M., </w:t>
      </w:r>
      <w:proofErr w:type="spellStart"/>
      <w:r w:rsidRPr="00CF1CAB">
        <w:t>Cripton</w:t>
      </w:r>
      <w:proofErr w:type="spellEnd"/>
      <w:r w:rsidRPr="00CF1CAB">
        <w:t>, P. A., Shen, H., Chipman, M. L., . . . Teschke, K. (2013). Comparing the Effects of Infrastructure on Bicycling Injury at Intersections and Non-Intersections Using a Case-Crossover Design. </w:t>
      </w:r>
      <w:r w:rsidRPr="001159DF">
        <w:t>Injury Prevention, 19(5), 303-310.</w:t>
      </w:r>
    </w:p>
    <w:p w14:paraId="644DC3EE" w14:textId="16626C3D" w:rsidR="00202C94" w:rsidRPr="001159DF" w:rsidRDefault="00202C94" w:rsidP="00202C94">
      <w:pPr>
        <w:pStyle w:val="Ref"/>
      </w:pPr>
      <w:r w:rsidRPr="00C5335C">
        <w:t>Hauksson, R. G. (2014)</w:t>
      </w:r>
      <w:r>
        <w:t>.</w:t>
      </w:r>
      <w:r w:rsidRPr="00C5335C">
        <w:t xml:space="preserve"> Bicycle Safety in Gothenburg. Master thesis, Department of civil and environmental engineering, Road and traffic research group, Chalmers university of technology, </w:t>
      </w:r>
      <w:proofErr w:type="spellStart"/>
      <w:r w:rsidRPr="00C5335C">
        <w:t>Gøteborg</w:t>
      </w:r>
      <w:proofErr w:type="spellEnd"/>
      <w:r w:rsidRPr="00C5335C">
        <w:t>, Sverige</w:t>
      </w:r>
      <w:r>
        <w:t>.</w:t>
      </w:r>
    </w:p>
    <w:p w14:paraId="67ABAFD5" w14:textId="77777777" w:rsidR="001159DF" w:rsidRPr="00CF1CAB" w:rsidRDefault="001159DF" w:rsidP="00202C94">
      <w:pPr>
        <w:pStyle w:val="Ref"/>
      </w:pPr>
      <w:r w:rsidRPr="00723AC1">
        <w:rPr>
          <w:lang w:val="da-DK"/>
        </w:rPr>
        <w:t>Herby, J., &amp; Friis, A. (2013). Samfundsøkonomiske analyser af cykelsuperstierne. </w:t>
      </w:r>
      <w:r w:rsidRPr="00CF1CAB">
        <w:t>Proceedings from the Annual Transport Conference at Aalborg University.</w:t>
      </w:r>
    </w:p>
    <w:p w14:paraId="11EA1CF9" w14:textId="3906ADD1" w:rsidR="0016097D" w:rsidRPr="0016097D" w:rsidRDefault="0016097D" w:rsidP="0016097D">
      <w:pPr>
        <w:pStyle w:val="Ref"/>
        <w:rPr>
          <w:lang w:val="nb-NO"/>
        </w:rPr>
      </w:pPr>
      <w:r w:rsidRPr="00723AC1">
        <w:lastRenderedPageBreak/>
        <w:t xml:space="preserve">Hesjevoll, I.S., &amp; Ingebrigtsen, R. (2016). </w:t>
      </w:r>
      <w:r w:rsidRPr="0016097D">
        <w:rPr>
          <w:lang w:val="nb-NO"/>
        </w:rPr>
        <w:t>Bygg, så sykler de kanskje: En litteraturstudie av betydningen av separering, sammenheng og trygghet for sykling. TØI-Rapport 1</w:t>
      </w:r>
      <w:r>
        <w:rPr>
          <w:lang w:val="nb-NO"/>
        </w:rPr>
        <w:t>499</w:t>
      </w:r>
      <w:r w:rsidRPr="0016097D">
        <w:rPr>
          <w:lang w:val="nb-NO"/>
        </w:rPr>
        <w:t>/201</w:t>
      </w:r>
      <w:r>
        <w:rPr>
          <w:lang w:val="nb-NO"/>
        </w:rPr>
        <w:t>6</w:t>
      </w:r>
      <w:r w:rsidRPr="0016097D">
        <w:rPr>
          <w:lang w:val="nb-NO"/>
        </w:rPr>
        <w:t>. Oslo: Transportøkonomisk institutt.</w:t>
      </w:r>
    </w:p>
    <w:p w14:paraId="5670714B" w14:textId="77777777" w:rsidR="001159DF" w:rsidRPr="00723AC1" w:rsidRDefault="001159DF" w:rsidP="00E61823">
      <w:pPr>
        <w:pStyle w:val="Ref"/>
        <w:rPr>
          <w:lang w:val="nb-NO"/>
        </w:rPr>
      </w:pPr>
      <w:r w:rsidRPr="00723AC1">
        <w:rPr>
          <w:lang w:val="nb-NO"/>
        </w:rPr>
        <w:t>Høye, A. (2017). Trafikksikkerhet for syklister. TØI-Rapport 1597/2017. Oslo: Transportøkonomisk institutt.</w:t>
      </w:r>
    </w:p>
    <w:p w14:paraId="32B72F07" w14:textId="77777777" w:rsidR="001159DF" w:rsidRPr="00723AC1" w:rsidRDefault="001159DF" w:rsidP="00E61823">
      <w:pPr>
        <w:pStyle w:val="Ref"/>
        <w:rPr>
          <w:lang w:val="nb-NO"/>
        </w:rPr>
      </w:pPr>
      <w:r w:rsidRPr="001159DF">
        <w:rPr>
          <w:lang w:val="nb-NO"/>
        </w:rPr>
        <w:t>Høye, A., Sørensen, M.W.J. &amp; De Jong, T. (2015). </w:t>
      </w:r>
      <w:r w:rsidRPr="00723AC1">
        <w:rPr>
          <w:lang w:val="nb-NO"/>
        </w:rPr>
        <w:t>Separate sykkelanlegg i by. Effekter på sikkerhet, framkommelighet, trygghetsfølelse og transportmiddelvalg. TØI-rapport 1447/2016. Oslo: Transportøkonomisk institutt.</w:t>
      </w:r>
    </w:p>
    <w:p w14:paraId="3893DEC9" w14:textId="77777777" w:rsidR="001159DF" w:rsidRPr="00785425" w:rsidRDefault="001159DF" w:rsidP="001159DF">
      <w:pPr>
        <w:ind w:left="709" w:hanging="709"/>
      </w:pPr>
      <w:r w:rsidRPr="00785425">
        <w:t xml:space="preserve">Høye, A.K., &amp; De Jong, T. (2023). Bredder på infrastruktur for gående og syklende. TØI-Rapport 1938/2023. </w:t>
      </w:r>
    </w:p>
    <w:p w14:paraId="1BD68430" w14:textId="77777777" w:rsidR="001159DF" w:rsidRPr="00723AC1" w:rsidRDefault="001159DF" w:rsidP="001159DF">
      <w:pPr>
        <w:ind w:left="709" w:hanging="709"/>
        <w:rPr>
          <w:lang w:val="en-US"/>
        </w:rPr>
      </w:pPr>
      <w:r w:rsidRPr="00785425">
        <w:t xml:space="preserve">Høye, A.K., &amp; </w:t>
      </w:r>
      <w:r>
        <w:t>Fyhri, A</w:t>
      </w:r>
      <w:r w:rsidRPr="00785425">
        <w:t>. (202</w:t>
      </w:r>
      <w:r>
        <w:t>1</w:t>
      </w:r>
      <w:r w:rsidRPr="00785425">
        <w:t xml:space="preserve">). </w:t>
      </w:r>
      <w:r>
        <w:t>Erfaringer med bruk av farget dekke for sykkelanlegg og kollektivanlegg - En litteraturgjennomgang</w:t>
      </w:r>
      <w:r w:rsidRPr="00785425">
        <w:t xml:space="preserve">. </w:t>
      </w:r>
      <w:r w:rsidRPr="00723AC1">
        <w:rPr>
          <w:lang w:val="en-US"/>
        </w:rPr>
        <w:t xml:space="preserve">TØI-Rapport 1938/2023. </w:t>
      </w:r>
    </w:p>
    <w:p w14:paraId="531CBC95" w14:textId="107B8CDA" w:rsidR="00E61823" w:rsidRPr="00E61823" w:rsidRDefault="00E61823" w:rsidP="001159DF">
      <w:pPr>
        <w:ind w:left="709" w:hanging="709"/>
        <w:rPr>
          <w:lang w:val="en-US"/>
        </w:rPr>
      </w:pPr>
      <w:r w:rsidRPr="00723AC1">
        <w:rPr>
          <w:lang w:val="en-US"/>
        </w:rPr>
        <w:t xml:space="preserve">Isaksson-Hellman, I., &amp; Töreki, J. (2019). </w:t>
      </w:r>
      <w:r w:rsidRPr="003D7F3E">
        <w:rPr>
          <w:lang w:val="en-US"/>
        </w:rPr>
        <w:t>The effect of speed limit reductions in urban areas on cyclists’ injuries in collisions with cars. </w:t>
      </w:r>
      <w:r w:rsidRPr="00E61823">
        <w:rPr>
          <w:i/>
          <w:iCs/>
          <w:lang w:val="en-US"/>
        </w:rPr>
        <w:t>Traffic injury prevention</w:t>
      </w:r>
      <w:r w:rsidRPr="00E61823">
        <w:rPr>
          <w:lang w:val="en-US"/>
        </w:rPr>
        <w:t>, </w:t>
      </w:r>
      <w:r w:rsidRPr="00E61823">
        <w:rPr>
          <w:i/>
          <w:iCs/>
          <w:lang w:val="en-US"/>
        </w:rPr>
        <w:t>20</w:t>
      </w:r>
      <w:r w:rsidRPr="00E61823">
        <w:rPr>
          <w:lang w:val="en-US"/>
        </w:rPr>
        <w:t>(sup3), 39-44.</w:t>
      </w:r>
    </w:p>
    <w:p w14:paraId="0A8A9B67" w14:textId="77777777" w:rsidR="00E61823" w:rsidRPr="00723AC1" w:rsidRDefault="00E61823" w:rsidP="00E61823">
      <w:pPr>
        <w:pStyle w:val="Ref"/>
        <w:rPr>
          <w:lang w:val="da-DK"/>
        </w:rPr>
      </w:pPr>
      <w:r w:rsidRPr="009A54BF">
        <w:t>Jensen, S. U., &amp; Nielsen, M. A. (1999). </w:t>
      </w:r>
      <w:r w:rsidRPr="00723AC1">
        <w:rPr>
          <w:lang w:val="da-DK"/>
        </w:rPr>
        <w:t>Sikkerhedseffekter af nye vejudformninger for cyklister. Notat nr. 63, Vejdirektoratet.</w:t>
      </w:r>
    </w:p>
    <w:p w14:paraId="485C7E0F" w14:textId="77777777" w:rsidR="00E61823" w:rsidRPr="00723AC1" w:rsidRDefault="00E61823" w:rsidP="00E61823">
      <w:pPr>
        <w:ind w:left="709" w:hanging="709"/>
        <w:rPr>
          <w:lang w:val="da-DK"/>
        </w:rPr>
      </w:pPr>
      <w:r w:rsidRPr="00E61823">
        <w:rPr>
          <w:lang w:val="da-DK"/>
        </w:rPr>
        <w:t xml:space="preserve">Jensen, S. U. (2002). Mere sikker på cykel i Randers. </w:t>
      </w:r>
      <w:r w:rsidRPr="00723AC1">
        <w:rPr>
          <w:lang w:val="da-DK"/>
        </w:rPr>
        <w:t>Notat 5. Danmarks Transport Forskning.</w:t>
      </w:r>
    </w:p>
    <w:p w14:paraId="34626E22" w14:textId="77777777" w:rsidR="00E61823" w:rsidRPr="005D2CD7" w:rsidRDefault="00E61823" w:rsidP="00E61823">
      <w:pPr>
        <w:ind w:left="709" w:hanging="709"/>
        <w:rPr>
          <w:lang w:val="da-DK"/>
        </w:rPr>
      </w:pPr>
      <w:r w:rsidRPr="001159DF">
        <w:rPr>
          <w:lang w:val="da-DK"/>
        </w:rPr>
        <w:t xml:space="preserve">Jensen, S.U. (2006A). </w:t>
      </w:r>
      <w:r w:rsidRPr="005D2CD7">
        <w:rPr>
          <w:lang w:val="da-DK"/>
        </w:rPr>
        <w:t xml:space="preserve">Effekter af cykelstier og cykelbaner. </w:t>
      </w:r>
      <w:r>
        <w:rPr>
          <w:lang w:val="da-DK"/>
        </w:rPr>
        <w:t>Lyngby, Danmark: Trafitec.</w:t>
      </w:r>
    </w:p>
    <w:p w14:paraId="3F27DAA1" w14:textId="77777777" w:rsidR="00E61823" w:rsidRPr="00723AC1" w:rsidRDefault="00E61823" w:rsidP="00E61823">
      <w:pPr>
        <w:ind w:left="709" w:hanging="709"/>
        <w:rPr>
          <w:lang w:val="da-DK"/>
        </w:rPr>
      </w:pPr>
      <w:r w:rsidRPr="005D2CD7">
        <w:rPr>
          <w:lang w:val="da-DK"/>
        </w:rPr>
        <w:t>Jensen, S.U. (2006</w:t>
      </w:r>
      <w:r>
        <w:rPr>
          <w:lang w:val="da-DK"/>
        </w:rPr>
        <w:t>B</w:t>
      </w:r>
      <w:r w:rsidRPr="005D2CD7">
        <w:rPr>
          <w:lang w:val="da-DK"/>
        </w:rPr>
        <w:t xml:space="preserve">). </w:t>
      </w:r>
      <w:r w:rsidRPr="00924977">
        <w:rPr>
          <w:lang w:val="da-DK"/>
        </w:rPr>
        <w:t>Effekter af overkørsler og blå cykelfelter</w:t>
      </w:r>
      <w:r w:rsidRPr="005D2CD7">
        <w:rPr>
          <w:lang w:val="da-DK"/>
        </w:rPr>
        <w:t xml:space="preserve">. </w:t>
      </w:r>
      <w:r w:rsidRPr="00723AC1">
        <w:rPr>
          <w:lang w:val="da-DK"/>
        </w:rPr>
        <w:t>Lyngby, Danmark: Trafitec.</w:t>
      </w:r>
    </w:p>
    <w:p w14:paraId="76FB28E1" w14:textId="77777777" w:rsidR="00E61823" w:rsidRPr="00924977" w:rsidRDefault="00E61823" w:rsidP="00E61823">
      <w:pPr>
        <w:ind w:left="709" w:hanging="709"/>
        <w:rPr>
          <w:lang w:val="da-DK"/>
        </w:rPr>
      </w:pPr>
      <w:r w:rsidRPr="00723AC1">
        <w:rPr>
          <w:lang w:val="da-DK"/>
        </w:rPr>
        <w:t xml:space="preserve">Jensen, S. U. (2006C). </w:t>
      </w:r>
      <w:r w:rsidRPr="00924977">
        <w:rPr>
          <w:lang w:val="da-DK"/>
        </w:rPr>
        <w:t>Svendborg sikker cykelby. Lyngby, Danmark: Trafitec.</w:t>
      </w:r>
    </w:p>
    <w:p w14:paraId="592EAED3" w14:textId="77777777" w:rsidR="001159DF" w:rsidRPr="00723AC1" w:rsidRDefault="001159DF" w:rsidP="001159DF">
      <w:pPr>
        <w:ind w:left="709" w:hanging="709"/>
        <w:rPr>
          <w:lang w:val="da-DK"/>
        </w:rPr>
      </w:pPr>
      <w:r w:rsidRPr="00723AC1">
        <w:rPr>
          <w:lang w:val="da-DK"/>
        </w:rPr>
        <w:t>Jensen, S.U. (2008). Safety effects of blue cycle crossings: A before-after study. Accident Analysis and Prevention 40, 742-750.</w:t>
      </w:r>
    </w:p>
    <w:p w14:paraId="35D2984E" w14:textId="6B29A912" w:rsidR="00E61823" w:rsidRPr="00723AC1" w:rsidRDefault="00E61823" w:rsidP="001159DF">
      <w:pPr>
        <w:ind w:left="709" w:hanging="709"/>
        <w:rPr>
          <w:lang w:val="da-DK"/>
        </w:rPr>
      </w:pPr>
      <w:r w:rsidRPr="00723AC1">
        <w:rPr>
          <w:lang w:val="da-DK"/>
        </w:rPr>
        <w:t>Jensen, S.U. (2023). Kryds med dobbeltrettede cykelstier Sammenfatningsrapport. Lyngby, Danmark: Trafitec.</w:t>
      </w:r>
    </w:p>
    <w:p w14:paraId="6EE51180" w14:textId="64DD4EF6" w:rsidR="00E61823" w:rsidRDefault="00E61823" w:rsidP="001159DF">
      <w:pPr>
        <w:ind w:left="709" w:hanging="709"/>
        <w:rPr>
          <w:lang w:val="en-US"/>
        </w:rPr>
      </w:pPr>
      <w:r w:rsidRPr="00723AC1">
        <w:rPr>
          <w:lang w:val="da-DK"/>
        </w:rPr>
        <w:t xml:space="preserve">Jestico, B., Nelson, T. A., Potter, J., &amp; Winters, M. (2017). </w:t>
      </w:r>
      <w:r w:rsidRPr="0026585A">
        <w:rPr>
          <w:lang w:val="en-US"/>
        </w:rPr>
        <w:t>Multiuse trail intersection safety analysis: A crowdsourced data perspective. </w:t>
      </w:r>
      <w:r w:rsidRPr="0026585A">
        <w:rPr>
          <w:i/>
          <w:iCs/>
          <w:lang w:val="en-US"/>
        </w:rPr>
        <w:t>Accident Analysis &amp; Prevention</w:t>
      </w:r>
      <w:r w:rsidRPr="0026585A">
        <w:rPr>
          <w:lang w:val="en-US"/>
        </w:rPr>
        <w:t>, </w:t>
      </w:r>
      <w:r w:rsidRPr="0026585A">
        <w:rPr>
          <w:i/>
          <w:iCs/>
          <w:lang w:val="en-US"/>
        </w:rPr>
        <w:t>103</w:t>
      </w:r>
      <w:r w:rsidRPr="0026585A">
        <w:rPr>
          <w:lang w:val="en-US"/>
        </w:rPr>
        <w:t>, 65-71.</w:t>
      </w:r>
    </w:p>
    <w:p w14:paraId="49826602" w14:textId="2A9032FE" w:rsidR="00E61823" w:rsidRPr="001159DF" w:rsidRDefault="00E61823" w:rsidP="001159DF">
      <w:pPr>
        <w:ind w:left="709" w:hanging="709"/>
        <w:rPr>
          <w:lang w:val="en-US"/>
        </w:rPr>
      </w:pPr>
      <w:r w:rsidRPr="00E61823">
        <w:rPr>
          <w:lang w:val="en-US"/>
        </w:rPr>
        <w:t xml:space="preserve">Johannsen, H., &amp; </w:t>
      </w:r>
      <w:proofErr w:type="spellStart"/>
      <w:r w:rsidRPr="00E61823">
        <w:rPr>
          <w:lang w:val="en-US"/>
        </w:rPr>
        <w:t>Jänsch</w:t>
      </w:r>
      <w:proofErr w:type="spellEnd"/>
      <w:r w:rsidRPr="00E61823">
        <w:rPr>
          <w:lang w:val="en-US"/>
        </w:rPr>
        <w:t xml:space="preserve">, M. (2017). </w:t>
      </w:r>
      <w:r w:rsidRPr="004B656C">
        <w:rPr>
          <w:lang w:val="en-US"/>
        </w:rPr>
        <w:t>Accident risks of cyclists using the bicycle path depending on the side of the road. In </w:t>
      </w:r>
      <w:r w:rsidRPr="004B656C">
        <w:rPr>
          <w:i/>
          <w:iCs/>
          <w:lang w:val="en-US"/>
        </w:rPr>
        <w:t>25th International Technical Conference on the Enhanced Safety of Vehicles (ESV) National Highway Traffic Safety Administration</w:t>
      </w:r>
      <w:r w:rsidRPr="004B656C">
        <w:rPr>
          <w:lang w:val="en-US"/>
        </w:rPr>
        <w:t>.</w:t>
      </w:r>
    </w:p>
    <w:p w14:paraId="17BF622C" w14:textId="77777777" w:rsidR="00E61823" w:rsidRDefault="00E61823" w:rsidP="00E61823">
      <w:pPr>
        <w:pStyle w:val="Ref"/>
      </w:pPr>
      <w:proofErr w:type="spellStart"/>
      <w:r w:rsidRPr="00ED03AC">
        <w:t>Kapousizis</w:t>
      </w:r>
      <w:proofErr w:type="spellEnd"/>
      <w:r w:rsidRPr="00ED03AC">
        <w:t>, G., Goodman, A., &amp; Aldred, R. (2021). Cycling injury risk in Britain: A case-crossover study of infrastructural and route environment correlates. </w:t>
      </w:r>
      <w:r w:rsidRPr="009D7BF3">
        <w:rPr>
          <w:i/>
          <w:iCs/>
        </w:rPr>
        <w:t>Accident Analysis &amp; Prevention</w:t>
      </w:r>
      <w:r w:rsidRPr="009D7BF3">
        <w:t>, </w:t>
      </w:r>
      <w:r w:rsidRPr="009D7BF3">
        <w:rPr>
          <w:i/>
          <w:iCs/>
        </w:rPr>
        <w:t>154</w:t>
      </w:r>
      <w:r w:rsidRPr="009D7BF3">
        <w:t>, 106063.</w:t>
      </w:r>
    </w:p>
    <w:p w14:paraId="12B351D2" w14:textId="77777777" w:rsidR="001159DF" w:rsidRDefault="001159DF" w:rsidP="001159DF">
      <w:pPr>
        <w:ind w:left="709" w:hanging="709"/>
        <w:rPr>
          <w:lang w:val="en-US"/>
        </w:rPr>
      </w:pPr>
      <w:r w:rsidRPr="00770BCD">
        <w:rPr>
          <w:lang w:val="en-US"/>
        </w:rPr>
        <w:t xml:space="preserve">Kassim, A., Ismail, K., &amp; Woo, S. (2017). Investigation of the effect of super sharrows on cyclist and vehicle behavior. </w:t>
      </w:r>
      <w:r w:rsidRPr="002241DF">
        <w:rPr>
          <w:lang w:val="en-US"/>
        </w:rPr>
        <w:t>Transportation Research Record, 2659(1), 224-232.</w:t>
      </w:r>
    </w:p>
    <w:p w14:paraId="60058D53" w14:textId="1C42AD5B" w:rsidR="00E61823" w:rsidRPr="002241DF" w:rsidRDefault="00E61823" w:rsidP="001159DF">
      <w:pPr>
        <w:ind w:left="709" w:hanging="709"/>
        <w:rPr>
          <w:lang w:val="en-US"/>
        </w:rPr>
      </w:pPr>
      <w:r w:rsidRPr="00723AC1">
        <w:rPr>
          <w:lang w:val="en-US"/>
        </w:rPr>
        <w:t xml:space="preserve">Kim, J. K., Kim, S., </w:t>
      </w:r>
      <w:proofErr w:type="spellStart"/>
      <w:r w:rsidRPr="00723AC1">
        <w:rPr>
          <w:lang w:val="en-US"/>
        </w:rPr>
        <w:t>Ulfarsson</w:t>
      </w:r>
      <w:proofErr w:type="spellEnd"/>
      <w:r w:rsidRPr="00723AC1">
        <w:rPr>
          <w:lang w:val="en-US"/>
        </w:rPr>
        <w:t xml:space="preserve">, G. F., &amp; Porrello, L. A. (2007). </w:t>
      </w:r>
      <w:r w:rsidRPr="00C06D30">
        <w:rPr>
          <w:lang w:val="en-US"/>
        </w:rPr>
        <w:t>Bicyclist injury severities in bicycle–motor vehicle accidents. </w:t>
      </w:r>
      <w:r w:rsidRPr="00C06D30">
        <w:rPr>
          <w:i/>
          <w:iCs/>
          <w:lang w:val="en-US"/>
        </w:rPr>
        <w:t>Accident Analysis &amp; Prevention</w:t>
      </w:r>
      <w:r w:rsidRPr="00C06D30">
        <w:rPr>
          <w:lang w:val="en-US"/>
        </w:rPr>
        <w:t>, </w:t>
      </w:r>
      <w:r w:rsidRPr="00C06D30">
        <w:rPr>
          <w:i/>
          <w:iCs/>
          <w:lang w:val="en-US"/>
        </w:rPr>
        <w:t>39</w:t>
      </w:r>
      <w:r w:rsidRPr="00C06D30">
        <w:rPr>
          <w:lang w:val="en-US"/>
        </w:rPr>
        <w:t>(2), 238-251.</w:t>
      </w:r>
    </w:p>
    <w:p w14:paraId="43AE502F" w14:textId="77777777" w:rsidR="001159DF" w:rsidRPr="001159DF" w:rsidRDefault="001159DF" w:rsidP="00E61823">
      <w:pPr>
        <w:pStyle w:val="Ref"/>
      </w:pPr>
      <w:r w:rsidRPr="009A54BF">
        <w:t xml:space="preserve">Leden, L., </w:t>
      </w:r>
      <w:proofErr w:type="spellStart"/>
      <w:r w:rsidRPr="009A54BF">
        <w:t>Gårder</w:t>
      </w:r>
      <w:proofErr w:type="spellEnd"/>
      <w:r w:rsidRPr="009A54BF">
        <w:t>, P., &amp; Pulkkinen, U. (2000). </w:t>
      </w:r>
      <w:r w:rsidRPr="00CF1CAB">
        <w:t xml:space="preserve">An expert judgment model applied to estimating the safety effect of a bicycle facility. </w:t>
      </w:r>
      <w:r w:rsidRPr="001159DF">
        <w:t>Accident Analysis &amp; Prevention, 32(4), 589-599.</w:t>
      </w:r>
    </w:p>
    <w:p w14:paraId="0F8795B8" w14:textId="5F875BB4" w:rsidR="00E61823" w:rsidRDefault="00E61823" w:rsidP="00E61823">
      <w:pPr>
        <w:pStyle w:val="Ref"/>
      </w:pPr>
      <w:r w:rsidRPr="00723AC1">
        <w:t xml:space="preserve">Li, H., Graham, D. J., &amp; Liu, P. (2017). </w:t>
      </w:r>
      <w:r w:rsidRPr="00447AED">
        <w:t>Safety effects of the London cycle superhighways on cycle collisions. </w:t>
      </w:r>
      <w:r w:rsidRPr="00447AED">
        <w:rPr>
          <w:i/>
          <w:iCs/>
        </w:rPr>
        <w:t>Accident Analysis &amp; Prevention</w:t>
      </w:r>
      <w:r w:rsidRPr="00447AED">
        <w:t>, </w:t>
      </w:r>
      <w:r w:rsidRPr="00447AED">
        <w:rPr>
          <w:i/>
          <w:iCs/>
        </w:rPr>
        <w:t>99</w:t>
      </w:r>
      <w:r w:rsidRPr="00447AED">
        <w:t>, 90-101.</w:t>
      </w:r>
    </w:p>
    <w:p w14:paraId="12640D86" w14:textId="5BFCE26F" w:rsidR="00E61823" w:rsidRDefault="00E61823" w:rsidP="00E61823">
      <w:pPr>
        <w:pStyle w:val="Ref"/>
      </w:pPr>
      <w:r w:rsidRPr="00431188">
        <w:t xml:space="preserve">Li, H., Zhang, Z., </w:t>
      </w:r>
      <w:proofErr w:type="spellStart"/>
      <w:r w:rsidRPr="00431188">
        <w:t>Lv</w:t>
      </w:r>
      <w:proofErr w:type="spellEnd"/>
      <w:r w:rsidRPr="00431188">
        <w:t>, H., &amp; Ren, G. (2024). Investigating the safety impacts of discontinuities in cycle network: A case study of London. </w:t>
      </w:r>
      <w:r w:rsidRPr="00431188">
        <w:rPr>
          <w:i/>
          <w:iCs/>
        </w:rPr>
        <w:t>Journal of Transportation Safety &amp; Security</w:t>
      </w:r>
      <w:r w:rsidRPr="00431188">
        <w:t>, </w:t>
      </w:r>
      <w:r w:rsidRPr="00431188">
        <w:rPr>
          <w:i/>
          <w:iCs/>
        </w:rPr>
        <w:t>16</w:t>
      </w:r>
      <w:r w:rsidRPr="00431188">
        <w:t>(1), 43-72.</w:t>
      </w:r>
    </w:p>
    <w:p w14:paraId="06CBE899" w14:textId="57A6EC94" w:rsidR="00E61823" w:rsidRDefault="00E61823" w:rsidP="00E61823">
      <w:pPr>
        <w:pStyle w:val="Ref"/>
      </w:pPr>
      <w:r w:rsidRPr="00FC3F2F">
        <w:lastRenderedPageBreak/>
        <w:t>Lim, C. S., Park, W. B., Cho, J. S., Yang, H. J., &amp; Lee, G. (2016). Comparison of bicycle injury characteristics between bicycle lane and other accident site in Korea: 2011-2014. </w:t>
      </w:r>
      <w:r w:rsidRPr="00263CEF">
        <w:rPr>
          <w:i/>
          <w:iCs/>
        </w:rPr>
        <w:t>Journal of the Korean Society of Emergency Medicine</w:t>
      </w:r>
      <w:r w:rsidRPr="00263CEF">
        <w:t>, </w:t>
      </w:r>
      <w:r w:rsidRPr="00263CEF">
        <w:rPr>
          <w:i/>
          <w:iCs/>
        </w:rPr>
        <w:t>27</w:t>
      </w:r>
      <w:r w:rsidRPr="00263CEF">
        <w:t>(6), 522-529.</w:t>
      </w:r>
    </w:p>
    <w:p w14:paraId="0EA827E4" w14:textId="640EFE23" w:rsidR="00E61823" w:rsidRPr="00723AC1" w:rsidRDefault="00E61823" w:rsidP="00E61823">
      <w:pPr>
        <w:pStyle w:val="Ref"/>
        <w:rPr>
          <w:lang w:val="nb-NO"/>
        </w:rPr>
      </w:pPr>
      <w:r w:rsidRPr="008B14DA">
        <w:t>Ling, R., Rothman, L., Cloutier, M. S., Macarthur, C., &amp; Howard, A. (2020). Cyclist-motor vehicle collisions before and after implementation of cycle tracks in Toronto, Canada. </w:t>
      </w:r>
      <w:proofErr w:type="spellStart"/>
      <w:r w:rsidRPr="00723AC1">
        <w:rPr>
          <w:i/>
          <w:iCs/>
          <w:lang w:val="nb-NO"/>
        </w:rPr>
        <w:t>Accident</w:t>
      </w:r>
      <w:proofErr w:type="spellEnd"/>
      <w:r w:rsidRPr="00723AC1">
        <w:rPr>
          <w:i/>
          <w:iCs/>
          <w:lang w:val="nb-NO"/>
        </w:rPr>
        <w:t xml:space="preserve"> Analysis &amp; </w:t>
      </w:r>
      <w:proofErr w:type="spellStart"/>
      <w:r w:rsidRPr="00723AC1">
        <w:rPr>
          <w:i/>
          <w:iCs/>
          <w:lang w:val="nb-NO"/>
        </w:rPr>
        <w:t>Prevention</w:t>
      </w:r>
      <w:proofErr w:type="spellEnd"/>
      <w:r w:rsidRPr="00723AC1">
        <w:rPr>
          <w:lang w:val="nb-NO"/>
        </w:rPr>
        <w:t>, </w:t>
      </w:r>
      <w:r w:rsidRPr="00723AC1">
        <w:rPr>
          <w:i/>
          <w:iCs/>
          <w:lang w:val="nb-NO"/>
        </w:rPr>
        <w:t>135</w:t>
      </w:r>
      <w:r w:rsidRPr="00723AC1">
        <w:rPr>
          <w:lang w:val="nb-NO"/>
        </w:rPr>
        <w:t>, 105360.</w:t>
      </w:r>
    </w:p>
    <w:p w14:paraId="757381DD" w14:textId="77777777" w:rsidR="001159DF" w:rsidRPr="00C812D5" w:rsidRDefault="001159DF" w:rsidP="001159DF">
      <w:pPr>
        <w:ind w:left="709" w:hanging="709"/>
      </w:pPr>
      <w:r>
        <w:t xml:space="preserve">Lund, J. (2019). </w:t>
      </w:r>
      <w:proofErr w:type="spellStart"/>
      <w:r>
        <w:t>Helsevesenbasert</w:t>
      </w:r>
      <w:proofErr w:type="spellEnd"/>
      <w:r>
        <w:t xml:space="preserve"> skaderegistrering som verktøy for å forebygge trafikkulykker. Rapport, Trygg trafikk.</w:t>
      </w:r>
    </w:p>
    <w:p w14:paraId="1036539B" w14:textId="77777777" w:rsidR="001159DF" w:rsidRPr="00723AC1" w:rsidRDefault="001159DF" w:rsidP="00E61823">
      <w:pPr>
        <w:pStyle w:val="Ref"/>
      </w:pPr>
      <w:r w:rsidRPr="00723AC1">
        <w:rPr>
          <w:lang w:val="nb-NO"/>
        </w:rPr>
        <w:t xml:space="preserve">Lusk, A. C., </w:t>
      </w:r>
      <w:proofErr w:type="spellStart"/>
      <w:r w:rsidRPr="00723AC1">
        <w:rPr>
          <w:lang w:val="nb-NO"/>
        </w:rPr>
        <w:t>Furth</w:t>
      </w:r>
      <w:proofErr w:type="spellEnd"/>
      <w:r w:rsidRPr="00723AC1">
        <w:rPr>
          <w:lang w:val="nb-NO"/>
        </w:rPr>
        <w:t xml:space="preserve">, P. G., </w:t>
      </w:r>
      <w:proofErr w:type="spellStart"/>
      <w:r w:rsidRPr="00723AC1">
        <w:rPr>
          <w:lang w:val="nb-NO"/>
        </w:rPr>
        <w:t>Morency</w:t>
      </w:r>
      <w:proofErr w:type="spellEnd"/>
      <w:r w:rsidRPr="00723AC1">
        <w:rPr>
          <w:lang w:val="nb-NO"/>
        </w:rPr>
        <w:t>, P., Miranda-</w:t>
      </w:r>
      <w:proofErr w:type="spellStart"/>
      <w:r w:rsidRPr="00723AC1">
        <w:rPr>
          <w:lang w:val="nb-NO"/>
        </w:rPr>
        <w:t>Moreno</w:t>
      </w:r>
      <w:proofErr w:type="spellEnd"/>
      <w:r w:rsidRPr="00723AC1">
        <w:rPr>
          <w:lang w:val="nb-NO"/>
        </w:rPr>
        <w:t xml:space="preserve">, L. F., Willett, W. C., &amp; </w:t>
      </w:r>
      <w:proofErr w:type="spellStart"/>
      <w:r w:rsidRPr="00723AC1">
        <w:rPr>
          <w:lang w:val="nb-NO"/>
        </w:rPr>
        <w:t>Dennerlein</w:t>
      </w:r>
      <w:proofErr w:type="spellEnd"/>
      <w:r w:rsidRPr="00723AC1">
        <w:rPr>
          <w:lang w:val="nb-NO"/>
        </w:rPr>
        <w:t xml:space="preserve">, J. T. (2011). </w:t>
      </w:r>
      <w:r w:rsidRPr="00CF1CAB">
        <w:t xml:space="preserve">Risk of injury for bicycling on cycle tracks versus in the street. </w:t>
      </w:r>
      <w:r w:rsidRPr="00723AC1">
        <w:t>Injury Prevention.</w:t>
      </w:r>
    </w:p>
    <w:p w14:paraId="7B54AA00" w14:textId="7A0AC5CC" w:rsidR="00E61823" w:rsidRPr="00723AC1" w:rsidRDefault="00E61823" w:rsidP="00E61823">
      <w:pPr>
        <w:pStyle w:val="Ref"/>
      </w:pPr>
      <w:bookmarkStart w:id="107" w:name="_Hlk197405410"/>
      <w:r w:rsidRPr="003A366B">
        <w:t>Marqués, R., &amp; Hernández-Herrador</w:t>
      </w:r>
      <w:bookmarkEnd w:id="107"/>
      <w:r w:rsidRPr="003A366B">
        <w:t>, V. (2017). On the effect of networks of cycle-tracks on the risk of cycling. The case of Seville. </w:t>
      </w:r>
      <w:r w:rsidRPr="003A366B">
        <w:rPr>
          <w:i/>
          <w:iCs/>
        </w:rPr>
        <w:t>Accident Analysis &amp; Prevention</w:t>
      </w:r>
      <w:r w:rsidRPr="003A366B">
        <w:t>, </w:t>
      </w:r>
      <w:r w:rsidRPr="003A366B">
        <w:rPr>
          <w:i/>
          <w:iCs/>
        </w:rPr>
        <w:t>102</w:t>
      </w:r>
      <w:r w:rsidRPr="003A366B">
        <w:t>, 181-190.</w:t>
      </w:r>
    </w:p>
    <w:p w14:paraId="246CDEA6" w14:textId="47113CC2" w:rsidR="00E61823" w:rsidRPr="009A54BF" w:rsidRDefault="00E61823" w:rsidP="00E61823">
      <w:pPr>
        <w:pStyle w:val="Ref"/>
        <w:rPr>
          <w:lang w:val="nb-NO"/>
        </w:rPr>
      </w:pPr>
      <w:r w:rsidRPr="00723AC1">
        <w:t xml:space="preserve">Mackenzie, J. R. R., Dutschke, J. K., &amp; Ponte, G. (2021). </w:t>
      </w:r>
      <w:r w:rsidRPr="005F68BB">
        <w:t>An investigation of cyclist passing distances in the Australian Capital Territory. </w:t>
      </w:r>
      <w:proofErr w:type="spellStart"/>
      <w:r w:rsidRPr="009A54BF">
        <w:rPr>
          <w:i/>
          <w:iCs/>
          <w:lang w:val="nb-NO"/>
        </w:rPr>
        <w:t>Accident</w:t>
      </w:r>
      <w:proofErr w:type="spellEnd"/>
      <w:r w:rsidRPr="009A54BF">
        <w:rPr>
          <w:i/>
          <w:iCs/>
          <w:lang w:val="nb-NO"/>
        </w:rPr>
        <w:t xml:space="preserve"> Analysis &amp; </w:t>
      </w:r>
      <w:proofErr w:type="spellStart"/>
      <w:r w:rsidRPr="009A54BF">
        <w:rPr>
          <w:i/>
          <w:iCs/>
          <w:lang w:val="nb-NO"/>
        </w:rPr>
        <w:t>Prevention</w:t>
      </w:r>
      <w:proofErr w:type="spellEnd"/>
      <w:r w:rsidRPr="009A54BF">
        <w:rPr>
          <w:lang w:val="nb-NO"/>
        </w:rPr>
        <w:t>, </w:t>
      </w:r>
      <w:r w:rsidRPr="009A54BF">
        <w:rPr>
          <w:i/>
          <w:iCs/>
          <w:lang w:val="nb-NO"/>
        </w:rPr>
        <w:t>154</w:t>
      </w:r>
      <w:r w:rsidRPr="009A54BF">
        <w:rPr>
          <w:lang w:val="nb-NO"/>
        </w:rPr>
        <w:t>, 106075.</w:t>
      </w:r>
    </w:p>
    <w:p w14:paraId="2A51256A" w14:textId="77777777" w:rsidR="001159DF" w:rsidRPr="00723AC1" w:rsidRDefault="001159DF" w:rsidP="00E61823">
      <w:pPr>
        <w:pStyle w:val="Ref"/>
        <w:rPr>
          <w:lang w:val="nb-NO"/>
        </w:rPr>
      </w:pPr>
      <w:r w:rsidRPr="009A54BF">
        <w:rPr>
          <w:lang w:val="nb-NO"/>
        </w:rPr>
        <w:t>Melhuus, K., Siverts, H., Enger, M., &amp; Schmidt, M. (2015). </w:t>
      </w:r>
      <w:r w:rsidRPr="00723AC1">
        <w:rPr>
          <w:lang w:val="nb-NO"/>
        </w:rPr>
        <w:t>Smaken av asfalt. Sykkelskader i Oslo 2014. Oslo Skadelegevakt. Oslo universitetssykehus, Helsedirektoratet, Statens vegvesen.</w:t>
      </w:r>
    </w:p>
    <w:p w14:paraId="73433A7A" w14:textId="77777777" w:rsidR="001159DF" w:rsidRDefault="001159DF" w:rsidP="00E61823">
      <w:pPr>
        <w:pStyle w:val="Ref"/>
      </w:pPr>
      <w:proofErr w:type="spellStart"/>
      <w:r w:rsidRPr="001159DF">
        <w:rPr>
          <w:lang w:val="nb-NO"/>
        </w:rPr>
        <w:t>Minikel</w:t>
      </w:r>
      <w:proofErr w:type="spellEnd"/>
      <w:r w:rsidRPr="001159DF">
        <w:rPr>
          <w:lang w:val="nb-NO"/>
        </w:rPr>
        <w:t xml:space="preserve">, E. (2012). </w:t>
      </w:r>
      <w:proofErr w:type="spellStart"/>
      <w:r w:rsidRPr="00723AC1">
        <w:rPr>
          <w:lang w:val="nb-NO"/>
        </w:rPr>
        <w:t>Cyclist</w:t>
      </w:r>
      <w:proofErr w:type="spellEnd"/>
      <w:r w:rsidRPr="00723AC1">
        <w:rPr>
          <w:lang w:val="nb-NO"/>
        </w:rPr>
        <w:t xml:space="preserve"> </w:t>
      </w:r>
      <w:proofErr w:type="spellStart"/>
      <w:r w:rsidRPr="00723AC1">
        <w:rPr>
          <w:lang w:val="nb-NO"/>
        </w:rPr>
        <w:t>safety</w:t>
      </w:r>
      <w:proofErr w:type="spellEnd"/>
      <w:r w:rsidRPr="00723AC1">
        <w:rPr>
          <w:lang w:val="nb-NO"/>
        </w:rPr>
        <w:t xml:space="preserve"> </w:t>
      </w:r>
      <w:proofErr w:type="spellStart"/>
      <w:r w:rsidRPr="00723AC1">
        <w:rPr>
          <w:lang w:val="nb-NO"/>
        </w:rPr>
        <w:t>on</w:t>
      </w:r>
      <w:proofErr w:type="spellEnd"/>
      <w:r w:rsidRPr="00723AC1">
        <w:rPr>
          <w:lang w:val="nb-NO"/>
        </w:rPr>
        <w:t xml:space="preserve"> </w:t>
      </w:r>
      <w:proofErr w:type="spellStart"/>
      <w:r w:rsidRPr="00723AC1">
        <w:rPr>
          <w:lang w:val="nb-NO"/>
        </w:rPr>
        <w:t>bicycle</w:t>
      </w:r>
      <w:proofErr w:type="spellEnd"/>
      <w:r w:rsidRPr="00723AC1">
        <w:rPr>
          <w:lang w:val="nb-NO"/>
        </w:rPr>
        <w:t xml:space="preserve"> </w:t>
      </w:r>
      <w:proofErr w:type="spellStart"/>
      <w:r w:rsidRPr="00723AC1">
        <w:rPr>
          <w:lang w:val="nb-NO"/>
        </w:rPr>
        <w:t>boulevards</w:t>
      </w:r>
      <w:proofErr w:type="spellEnd"/>
      <w:r w:rsidRPr="00723AC1">
        <w:rPr>
          <w:lang w:val="nb-NO"/>
        </w:rPr>
        <w:t xml:space="preserve"> and </w:t>
      </w:r>
      <w:proofErr w:type="spellStart"/>
      <w:r w:rsidRPr="00723AC1">
        <w:rPr>
          <w:lang w:val="nb-NO"/>
        </w:rPr>
        <w:t>parallel</w:t>
      </w:r>
      <w:proofErr w:type="spellEnd"/>
      <w:r w:rsidRPr="00723AC1">
        <w:rPr>
          <w:lang w:val="nb-NO"/>
        </w:rPr>
        <w:t xml:space="preserve"> </w:t>
      </w:r>
      <w:proofErr w:type="spellStart"/>
      <w:r w:rsidRPr="00723AC1">
        <w:rPr>
          <w:lang w:val="nb-NO"/>
        </w:rPr>
        <w:t>arterial</w:t>
      </w:r>
      <w:proofErr w:type="spellEnd"/>
      <w:r w:rsidRPr="00723AC1">
        <w:rPr>
          <w:lang w:val="nb-NO"/>
        </w:rPr>
        <w:t xml:space="preserve"> </w:t>
      </w:r>
      <w:proofErr w:type="spellStart"/>
      <w:r w:rsidRPr="00723AC1">
        <w:rPr>
          <w:lang w:val="nb-NO"/>
        </w:rPr>
        <w:t>routes</w:t>
      </w:r>
      <w:proofErr w:type="spellEnd"/>
      <w:r w:rsidRPr="00723AC1">
        <w:rPr>
          <w:lang w:val="nb-NO"/>
        </w:rPr>
        <w:t xml:space="preserve"> in Berkeley, California. </w:t>
      </w:r>
      <w:r w:rsidRPr="00CF1CAB">
        <w:t>Accident Analysis &amp; Prevention, 45, 241-247.</w:t>
      </w:r>
    </w:p>
    <w:p w14:paraId="75BF935E" w14:textId="43A12C44" w:rsidR="00E61823" w:rsidRPr="00723AC1" w:rsidRDefault="00E61823" w:rsidP="00E61823">
      <w:pPr>
        <w:pStyle w:val="Ref"/>
        <w:rPr>
          <w:lang w:val="da-DK"/>
        </w:rPr>
      </w:pPr>
      <w:r w:rsidRPr="00640CEC">
        <w:t>Morrison, C. N., Thompson, J., Kondo, M. C., &amp; Beck, B. (2019). On-road bicycle lane types, roadway characteristics, and risks for bicycle crashes. </w:t>
      </w:r>
      <w:r w:rsidRPr="00723AC1">
        <w:rPr>
          <w:i/>
          <w:iCs/>
          <w:lang w:val="da-DK"/>
        </w:rPr>
        <w:t>Accident Analysis &amp; Prevention</w:t>
      </w:r>
      <w:r w:rsidRPr="00723AC1">
        <w:rPr>
          <w:lang w:val="da-DK"/>
        </w:rPr>
        <w:t>, </w:t>
      </w:r>
      <w:r w:rsidRPr="00723AC1">
        <w:rPr>
          <w:i/>
          <w:iCs/>
          <w:lang w:val="da-DK"/>
        </w:rPr>
        <w:t>123</w:t>
      </w:r>
      <w:r w:rsidRPr="00723AC1">
        <w:rPr>
          <w:lang w:val="da-DK"/>
        </w:rPr>
        <w:t>, 123-131.</w:t>
      </w:r>
    </w:p>
    <w:p w14:paraId="32B767BE" w14:textId="77777777" w:rsidR="001159DF" w:rsidRPr="0051281D" w:rsidRDefault="001159DF" w:rsidP="0016097D">
      <w:pPr>
        <w:rPr>
          <w:lang w:val="da-DK"/>
        </w:rPr>
      </w:pPr>
      <w:r w:rsidRPr="0051281D">
        <w:rPr>
          <w:lang w:val="da-DK"/>
        </w:rPr>
        <w:t>Nielsen, 1993 (Danmark)</w:t>
      </w:r>
    </w:p>
    <w:p w14:paraId="2B486867" w14:textId="77777777" w:rsidR="001159DF" w:rsidRPr="00723AC1" w:rsidRDefault="001159DF" w:rsidP="00E61823">
      <w:pPr>
        <w:pStyle w:val="Ref"/>
        <w:rPr>
          <w:lang w:val="da-DK"/>
        </w:rPr>
      </w:pPr>
      <w:r w:rsidRPr="00723AC1">
        <w:rPr>
          <w:lang w:val="da-DK"/>
        </w:rPr>
        <w:t>Nielsen, M. A. (1995). Cykelbane på venstreside af højresvingsbane, Dansk Vejtidskrift, 4, 26-28.</w:t>
      </w:r>
    </w:p>
    <w:p w14:paraId="1A832460" w14:textId="1562AFF3" w:rsidR="0016097D" w:rsidRPr="0016097D" w:rsidRDefault="0016097D" w:rsidP="00E61823">
      <w:pPr>
        <w:pStyle w:val="Ref"/>
        <w:rPr>
          <w:lang w:val="sv-SE"/>
        </w:rPr>
      </w:pPr>
      <w:r w:rsidRPr="0016097D">
        <w:rPr>
          <w:lang w:val="sv-SE"/>
        </w:rPr>
        <w:t xml:space="preserve">Nilsson, A. (2003). Utvärdering av cykelfälts effekter på cyklisters säkerhet och cykelns konkurrenskraft mot bil. </w:t>
      </w:r>
      <w:r w:rsidRPr="00723AC1">
        <w:rPr>
          <w:lang w:val="sv-SE"/>
        </w:rPr>
        <w:t>Doktorsavhandling, Institutionen för Teknik och samhälle Lunds Tekniska Högskola.</w:t>
      </w:r>
    </w:p>
    <w:p w14:paraId="4A79A52D" w14:textId="37C29793" w:rsidR="00E61823" w:rsidRPr="00723AC1" w:rsidRDefault="00E61823" w:rsidP="00E61823">
      <w:pPr>
        <w:pStyle w:val="Ref"/>
        <w:rPr>
          <w:color w:val="FF0000"/>
        </w:rPr>
      </w:pPr>
      <w:r w:rsidRPr="00723AC1">
        <w:rPr>
          <w:lang w:val="sv-SE"/>
        </w:rPr>
        <w:t xml:space="preserve">Nolan, J., Sinclair, J., &amp; Savage, J. (2021). </w:t>
      </w:r>
      <w:r w:rsidRPr="00F327E9">
        <w:t>Are bicycle lanes effective? The relationship between passing distance and road characteristics. </w:t>
      </w:r>
      <w:r w:rsidRPr="00F327E9">
        <w:rPr>
          <w:i/>
          <w:iCs/>
        </w:rPr>
        <w:t>Accident Analysis &amp; Prevention</w:t>
      </w:r>
      <w:r w:rsidRPr="00F327E9">
        <w:t>, </w:t>
      </w:r>
      <w:r w:rsidRPr="00F327E9">
        <w:rPr>
          <w:i/>
          <w:iCs/>
        </w:rPr>
        <w:t>159</w:t>
      </w:r>
      <w:r w:rsidRPr="00F327E9">
        <w:t>, 106184.</w:t>
      </w:r>
    </w:p>
    <w:p w14:paraId="44A9E791" w14:textId="77777777" w:rsidR="001159DF" w:rsidRPr="00CF1CAB" w:rsidRDefault="001159DF" w:rsidP="00E61823">
      <w:pPr>
        <w:pStyle w:val="Ref"/>
      </w:pPr>
      <w:r w:rsidRPr="00CF1CAB">
        <w:t>Pai, C.-W. (2011). Overtaking, rear-end, and door crashes involving bicycles: An empirical investigation. Accident Analysis &amp; Prevention, 43(3), 1228-1235.</w:t>
      </w:r>
    </w:p>
    <w:p w14:paraId="4AF5B87C" w14:textId="77777777" w:rsidR="001159DF" w:rsidRPr="00723AC1" w:rsidRDefault="001159DF" w:rsidP="00E61823">
      <w:pPr>
        <w:pStyle w:val="Ref"/>
      </w:pPr>
      <w:r w:rsidRPr="00CF1CAB">
        <w:t xml:space="preserve">Park, J., Abdel-Aty, M., Lee, J., &amp; Lee, C. (2015). Developing crash modification functions to assess safety effects of adding bike lanes for urban arterials with different roadway and socio-economic characteristics. </w:t>
      </w:r>
      <w:r w:rsidRPr="00723AC1">
        <w:t>Accident Analysis &amp; Prevention, 74, 179-191.</w:t>
      </w:r>
    </w:p>
    <w:p w14:paraId="3D5FCA97" w14:textId="1EEBE17E" w:rsidR="00E61823" w:rsidRPr="00723AC1" w:rsidRDefault="00E61823" w:rsidP="00E61823">
      <w:pPr>
        <w:pStyle w:val="Ref"/>
      </w:pPr>
      <w:r w:rsidRPr="00723AC1">
        <w:t xml:space="preserve">Paudel, M., Yap, F. F., Rosli, T. B. M., Tan, K. H., Xu, H., Vahdati, N., ... </w:t>
      </w:r>
      <w:r w:rsidRPr="006B476E">
        <w:t xml:space="preserve">&amp; </w:t>
      </w:r>
      <w:proofErr w:type="spellStart"/>
      <w:r w:rsidRPr="006B476E">
        <w:t>Shiryayev</w:t>
      </w:r>
      <w:proofErr w:type="spellEnd"/>
      <w:r w:rsidRPr="006B476E">
        <w:t>, O. (2022). A computational study on the basis for a safe speed limit for bicycles on shared paths considering the severity of pedestrian head injuries in bicyclist-pedestrian collisions. </w:t>
      </w:r>
      <w:r w:rsidRPr="006B476E">
        <w:rPr>
          <w:i/>
          <w:iCs/>
        </w:rPr>
        <w:t>Accident Analysis &amp; Prevention</w:t>
      </w:r>
      <w:r w:rsidRPr="006B476E">
        <w:t>, </w:t>
      </w:r>
      <w:r w:rsidRPr="006B476E">
        <w:rPr>
          <w:i/>
          <w:iCs/>
        </w:rPr>
        <w:t>176</w:t>
      </w:r>
      <w:r w:rsidRPr="006B476E">
        <w:t>, 106792.</w:t>
      </w:r>
    </w:p>
    <w:p w14:paraId="10DA7146" w14:textId="77777777" w:rsidR="001159DF" w:rsidRPr="00CF1CAB" w:rsidRDefault="001159DF" w:rsidP="00E61823">
      <w:pPr>
        <w:pStyle w:val="Ref"/>
      </w:pPr>
      <w:r w:rsidRPr="00723AC1">
        <w:t xml:space="preserve">Pedler, A., &amp; Davies, D. G. (2000). </w:t>
      </w:r>
      <w:r w:rsidRPr="00CF1CAB">
        <w:t>Cycle track crossings of minor roads. TRL Limited.</w:t>
      </w:r>
    </w:p>
    <w:p w14:paraId="3643C114" w14:textId="77777777" w:rsidR="001159DF" w:rsidRDefault="001159DF" w:rsidP="00E61823">
      <w:pPr>
        <w:pStyle w:val="Ref"/>
        <w:rPr>
          <w:lang w:val="da-DK"/>
        </w:rPr>
      </w:pPr>
      <w:r w:rsidRPr="00723AC1">
        <w:t xml:space="preserve">Petritsch, T. A., Landis, B. W., Huang, H. F., &amp; Challa, S. (2006). </w:t>
      </w:r>
      <w:proofErr w:type="spellStart"/>
      <w:r w:rsidRPr="00CF1CAB">
        <w:t>Sidepath</w:t>
      </w:r>
      <w:proofErr w:type="spellEnd"/>
      <w:r w:rsidRPr="00CF1CAB">
        <w:t xml:space="preserve"> Safety Model: Bicycle </w:t>
      </w:r>
      <w:proofErr w:type="spellStart"/>
      <w:r w:rsidRPr="00CF1CAB">
        <w:t>Sidepath</w:t>
      </w:r>
      <w:proofErr w:type="spellEnd"/>
      <w:r w:rsidRPr="00CF1CAB">
        <w:t xml:space="preserve"> Design Factors Affecting Crash Rates. </w:t>
      </w:r>
      <w:r w:rsidRPr="001159DF">
        <w:rPr>
          <w:lang w:val="da-DK"/>
        </w:rPr>
        <w:t>Transportation Research Record, 1982, 194-201.</w:t>
      </w:r>
    </w:p>
    <w:p w14:paraId="1F20ABE4" w14:textId="436F04DF" w:rsidR="00E61823" w:rsidRDefault="00E61823" w:rsidP="00E61823">
      <w:pPr>
        <w:pStyle w:val="Ref"/>
        <w:rPr>
          <w:lang w:val="da-DK"/>
        </w:rPr>
      </w:pPr>
      <w:r w:rsidRPr="00E61823">
        <w:rPr>
          <w:lang w:val="da-DK"/>
        </w:rPr>
        <w:t xml:space="preserve">Pfeifer, J. P. C. (1999). </w:t>
      </w:r>
      <w:r w:rsidRPr="0098583E">
        <w:rPr>
          <w:lang w:val="da-DK"/>
        </w:rPr>
        <w:t>Sikkerhed for cyklister i kryds. Aalborg Universitet, Institut for Samfundsudvikling og Planlægning.</w:t>
      </w:r>
    </w:p>
    <w:p w14:paraId="6BFF8805" w14:textId="45121AFB" w:rsidR="00E61823" w:rsidRPr="00E61823" w:rsidRDefault="00E61823" w:rsidP="00E61823">
      <w:pPr>
        <w:pStyle w:val="Ref"/>
      </w:pPr>
      <w:r w:rsidRPr="00B44C8A">
        <w:rPr>
          <w:lang w:val="da-DK"/>
        </w:rPr>
        <w:lastRenderedPageBreak/>
        <w:t xml:space="preserve">Phuksuksakul, N., Haque, M., &amp; Yasmin, S. (2024). </w:t>
      </w:r>
      <w:r w:rsidRPr="00B44C8A">
        <w:t>The role of posted speed limit on pedestrian and bicycle injury severities: An investigation into systematic and unobserved heterogeneities. </w:t>
      </w:r>
      <w:r w:rsidRPr="00B44C8A">
        <w:rPr>
          <w:i/>
          <w:iCs/>
        </w:rPr>
        <w:t>Analytic Methods in Accident Research</w:t>
      </w:r>
      <w:r w:rsidRPr="00B44C8A">
        <w:t>, </w:t>
      </w:r>
      <w:r w:rsidRPr="00B44C8A">
        <w:rPr>
          <w:i/>
          <w:iCs/>
        </w:rPr>
        <w:t>44</w:t>
      </w:r>
      <w:r w:rsidRPr="00B44C8A">
        <w:t>, 100351.</w:t>
      </w:r>
    </w:p>
    <w:p w14:paraId="53A3D0C7" w14:textId="77777777" w:rsidR="001159DF" w:rsidRPr="00CF1CAB" w:rsidRDefault="001159DF" w:rsidP="00E61823">
      <w:pPr>
        <w:pStyle w:val="Ref"/>
      </w:pPr>
      <w:r w:rsidRPr="00CF1CAB">
        <w:t xml:space="preserve">Poulos, R. G., Hatfield, J., Rissel, C., Flack, L. K., Murphy, S., </w:t>
      </w:r>
      <w:proofErr w:type="spellStart"/>
      <w:r w:rsidRPr="00CF1CAB">
        <w:t>Grzebieta</w:t>
      </w:r>
      <w:proofErr w:type="spellEnd"/>
      <w:r w:rsidRPr="00CF1CAB">
        <w:t xml:space="preserve">, R., &amp; McIntosh, A. S. (2015). An </w:t>
      </w:r>
      <w:proofErr w:type="gramStart"/>
      <w:r w:rsidRPr="00CF1CAB">
        <w:t>exposure based</w:t>
      </w:r>
      <w:proofErr w:type="gramEnd"/>
      <w:r w:rsidRPr="00CF1CAB">
        <w:t xml:space="preserve"> study of crash and injury rates in a cohort of transport and recreational cyclists in New South Wales, Australia. Accident Analysis &amp; Prevention, 78, 29-38.</w:t>
      </w:r>
    </w:p>
    <w:p w14:paraId="1A939E2C" w14:textId="77777777" w:rsidR="001159DF" w:rsidRPr="00CF1CAB" w:rsidRDefault="001159DF" w:rsidP="00E61823">
      <w:pPr>
        <w:pStyle w:val="Ref"/>
      </w:pPr>
      <w:r w:rsidRPr="00CF1CAB">
        <w:t>Prato, C. G., Kaplan, S., Rasmussen, T. K., &amp; Hels, T. (2014). Infrastructure and spatial effects on the frequency of cyclist-motorist collisions in the Copenhagen region. Proceedings from the Annual Transport Conference at Aalborg University.</w:t>
      </w:r>
    </w:p>
    <w:p w14:paraId="0E283B7E" w14:textId="77777777" w:rsidR="001159DF" w:rsidRDefault="001159DF" w:rsidP="00E61823">
      <w:pPr>
        <w:pStyle w:val="Ref"/>
      </w:pPr>
      <w:proofErr w:type="spellStart"/>
      <w:r w:rsidRPr="00CF1CAB">
        <w:t>Pulugurtha</w:t>
      </w:r>
      <w:proofErr w:type="spellEnd"/>
      <w:r w:rsidRPr="00CF1CAB">
        <w:t>, S. S., &amp; Thakur, V. (2015). Evaluating the effectiveness of on-street bicycle lane and assessing risk to bicyclists in Charlotte, North Carolina. Accident Analysis &amp; Prevention, 76, 34-41.</w:t>
      </w:r>
    </w:p>
    <w:p w14:paraId="1154985A" w14:textId="75657189" w:rsidR="00E61823" w:rsidRDefault="00E61823" w:rsidP="00E61823">
      <w:pPr>
        <w:pStyle w:val="Ref"/>
      </w:pPr>
      <w:r w:rsidRPr="006F6863">
        <w:t xml:space="preserve">Reynolds, C. C., Harris, M. A., Teschke, K., </w:t>
      </w:r>
      <w:proofErr w:type="spellStart"/>
      <w:r w:rsidRPr="006F6863">
        <w:t>Cripton</w:t>
      </w:r>
      <w:proofErr w:type="spellEnd"/>
      <w:r w:rsidRPr="006F6863">
        <w:t>, P. A., &amp; Winters, M. (2009). The impact of transportation infrastructure on bicycling injuries and crashes: a review of the literature. </w:t>
      </w:r>
      <w:r w:rsidRPr="006F6863">
        <w:rPr>
          <w:i/>
          <w:iCs/>
        </w:rPr>
        <w:t>Environmental health</w:t>
      </w:r>
      <w:r w:rsidRPr="006F6863">
        <w:t>, </w:t>
      </w:r>
      <w:r w:rsidRPr="006F6863">
        <w:rPr>
          <w:i/>
          <w:iCs/>
        </w:rPr>
        <w:t>8</w:t>
      </w:r>
      <w:r w:rsidRPr="006F6863">
        <w:t>, 1-19.</w:t>
      </w:r>
    </w:p>
    <w:p w14:paraId="0935F1A8" w14:textId="6CA3DF36" w:rsidR="00E61823" w:rsidRPr="00CF1CAB" w:rsidRDefault="00E61823" w:rsidP="00E61823">
      <w:pPr>
        <w:pStyle w:val="Ref"/>
      </w:pPr>
      <w:proofErr w:type="spellStart"/>
      <w:r w:rsidRPr="0026585A">
        <w:t>Robartes</w:t>
      </w:r>
      <w:proofErr w:type="spellEnd"/>
      <w:r w:rsidRPr="0026585A">
        <w:t>, E., &amp; Chen, T. D. (2017). The effect of crash characteristics on cyclist injuries: An analysis of Virginia automobile-bicycle crash data. </w:t>
      </w:r>
      <w:r w:rsidRPr="0026585A">
        <w:rPr>
          <w:i/>
          <w:iCs/>
        </w:rPr>
        <w:t>Accident Analysis &amp; Prevention</w:t>
      </w:r>
      <w:r w:rsidRPr="0026585A">
        <w:t>, </w:t>
      </w:r>
      <w:r w:rsidRPr="0026585A">
        <w:rPr>
          <w:i/>
          <w:iCs/>
        </w:rPr>
        <w:t>104</w:t>
      </w:r>
      <w:r w:rsidRPr="0026585A">
        <w:t>, 165-173.</w:t>
      </w:r>
    </w:p>
    <w:p w14:paraId="0695784A" w14:textId="77777777" w:rsidR="001159DF" w:rsidRPr="00CF1CAB" w:rsidRDefault="001159DF" w:rsidP="00E61823">
      <w:pPr>
        <w:pStyle w:val="Ref"/>
      </w:pPr>
      <w:r w:rsidRPr="00CF1CAB">
        <w:t xml:space="preserve">Romanow, N. T., </w:t>
      </w:r>
      <w:proofErr w:type="spellStart"/>
      <w:r w:rsidRPr="00CF1CAB">
        <w:t>Couperthwaite</w:t>
      </w:r>
      <w:proofErr w:type="spellEnd"/>
      <w:r w:rsidRPr="00CF1CAB">
        <w:t>, A. B., McCormack, G. R., Nettel-Aguirre, A., Rowe, B. H., &amp; Hagel, B. E. (2012). Environmental determinants of bicycling injuries in Alberta, Canada. Journal of environmental and public health, 2012.</w:t>
      </w:r>
    </w:p>
    <w:p w14:paraId="07D0B38C" w14:textId="77777777" w:rsidR="001159DF" w:rsidRPr="00723AC1" w:rsidRDefault="001159DF" w:rsidP="001159DF">
      <w:pPr>
        <w:ind w:left="709" w:hanging="709"/>
        <w:rPr>
          <w:lang w:val="en-US"/>
        </w:rPr>
      </w:pPr>
      <w:r w:rsidRPr="001159DF">
        <w:rPr>
          <w:lang w:val="de-DE"/>
        </w:rPr>
        <w:t xml:space="preserve">Ruf, S., </w:t>
      </w:r>
      <w:proofErr w:type="spellStart"/>
      <w:r w:rsidRPr="001159DF">
        <w:rPr>
          <w:lang w:val="de-DE"/>
        </w:rPr>
        <w:t>Druba</w:t>
      </w:r>
      <w:proofErr w:type="spellEnd"/>
      <w:r w:rsidRPr="001159DF">
        <w:rPr>
          <w:lang w:val="de-DE"/>
        </w:rPr>
        <w:t xml:space="preserve">, J. M., &amp; Hagemeister, C. (2023). </w:t>
      </w:r>
      <w:r w:rsidRPr="00770BCD">
        <w:rPr>
          <w:lang w:val="en-US"/>
        </w:rPr>
        <w:t xml:space="preserve">Stuck in a (literal) tight spot: Cycling between tram rails, sharrows and parked cars. </w:t>
      </w:r>
      <w:r w:rsidRPr="00723AC1">
        <w:rPr>
          <w:lang w:val="en-US"/>
        </w:rPr>
        <w:t>Journal of safety research, 87, 107-121.</w:t>
      </w:r>
    </w:p>
    <w:p w14:paraId="4B5105DB" w14:textId="77777777" w:rsidR="001159DF" w:rsidRPr="00CF1CAB" w:rsidRDefault="001159DF" w:rsidP="00E61823">
      <w:pPr>
        <w:pStyle w:val="Ref"/>
      </w:pPr>
      <w:r w:rsidRPr="00CF1CAB">
        <w:t xml:space="preserve">Schepers, J. P., &amp; </w:t>
      </w:r>
      <w:proofErr w:type="spellStart"/>
      <w:r w:rsidRPr="00CF1CAB">
        <w:t>Voorham</w:t>
      </w:r>
      <w:proofErr w:type="spellEnd"/>
      <w:r w:rsidRPr="00CF1CAB">
        <w:t xml:space="preserve">, J. (2010). </w:t>
      </w:r>
      <w:proofErr w:type="spellStart"/>
      <w:r w:rsidRPr="00CF1CAB">
        <w:t>Oversteekongevallen</w:t>
      </w:r>
      <w:proofErr w:type="spellEnd"/>
      <w:r w:rsidRPr="00CF1CAB">
        <w:t xml:space="preserve"> met </w:t>
      </w:r>
      <w:proofErr w:type="spellStart"/>
      <w:r w:rsidRPr="00CF1CAB">
        <w:t>fietsers</w:t>
      </w:r>
      <w:proofErr w:type="spellEnd"/>
      <w:r w:rsidRPr="00CF1CAB">
        <w:t xml:space="preserve">. Het effect van </w:t>
      </w:r>
      <w:proofErr w:type="spellStart"/>
      <w:r w:rsidRPr="00CF1CAB">
        <w:t>infrastructuurkenmerken</w:t>
      </w:r>
      <w:proofErr w:type="spellEnd"/>
      <w:r w:rsidRPr="00CF1CAB">
        <w:t xml:space="preserve"> op </w:t>
      </w:r>
      <w:proofErr w:type="spellStart"/>
      <w:r w:rsidRPr="00CF1CAB">
        <w:t>voorrangskruispunten</w:t>
      </w:r>
      <w:proofErr w:type="spellEnd"/>
      <w:r w:rsidRPr="00CF1CAB">
        <w:t xml:space="preserve">. </w:t>
      </w:r>
      <w:proofErr w:type="spellStart"/>
      <w:r w:rsidRPr="00CF1CAB">
        <w:t>Directoraat-Generaal</w:t>
      </w:r>
      <w:proofErr w:type="spellEnd"/>
      <w:r w:rsidRPr="00CF1CAB">
        <w:t xml:space="preserve"> Rijkswaterstaat, Dienst </w:t>
      </w:r>
      <w:proofErr w:type="spellStart"/>
      <w:r w:rsidRPr="00CF1CAB">
        <w:t>Verkeer</w:t>
      </w:r>
      <w:proofErr w:type="spellEnd"/>
      <w:r w:rsidRPr="00CF1CAB">
        <w:t xml:space="preserve"> </w:t>
      </w:r>
      <w:proofErr w:type="spellStart"/>
      <w:r w:rsidRPr="00CF1CAB">
        <w:t>en</w:t>
      </w:r>
      <w:proofErr w:type="spellEnd"/>
      <w:r w:rsidRPr="00CF1CAB">
        <w:t xml:space="preserve"> </w:t>
      </w:r>
      <w:proofErr w:type="spellStart"/>
      <w:r w:rsidRPr="00CF1CAB">
        <w:t>Scheepvaars</w:t>
      </w:r>
      <w:proofErr w:type="spellEnd"/>
      <w:r w:rsidRPr="00CF1CAB">
        <w:t xml:space="preserve"> DVS, Delft.</w:t>
      </w:r>
    </w:p>
    <w:p w14:paraId="7E5A914D" w14:textId="77777777" w:rsidR="001159DF" w:rsidRPr="00723AC1" w:rsidRDefault="001159DF" w:rsidP="00E61823">
      <w:pPr>
        <w:pStyle w:val="Ref"/>
      </w:pPr>
      <w:r w:rsidRPr="00CF1CAB">
        <w:t xml:space="preserve">Schepers, J. P., Kroeze, P. A., Sweers, W., &amp; Wüst, J. C. (2011). Road factors and bicycle-motor vehicle crashes at unsignalized priority intersections. </w:t>
      </w:r>
      <w:r w:rsidRPr="00723AC1">
        <w:t>Accident Analysis &amp; Prevention, 43(3), 853-861.</w:t>
      </w:r>
    </w:p>
    <w:p w14:paraId="140043B0" w14:textId="69317FC4" w:rsidR="00E61823" w:rsidRDefault="00E61823" w:rsidP="00E61823">
      <w:pPr>
        <w:pStyle w:val="Ref"/>
      </w:pPr>
      <w:r w:rsidRPr="00723AC1">
        <w:t xml:space="preserve">Schneider, R. J., Schmitz, A., Lindsey, G., &amp; Qin, X. (2021). </w:t>
      </w:r>
      <w:r w:rsidRPr="000C3C27">
        <w:t>Exposure-based models of trail user crashes at roadway crossings. </w:t>
      </w:r>
      <w:r w:rsidRPr="000C3C27">
        <w:rPr>
          <w:i/>
          <w:iCs/>
        </w:rPr>
        <w:t>Transportation research record</w:t>
      </w:r>
      <w:r w:rsidRPr="000C3C27">
        <w:t>, </w:t>
      </w:r>
      <w:r w:rsidRPr="000C3C27">
        <w:rPr>
          <w:i/>
          <w:iCs/>
        </w:rPr>
        <w:t>2675</w:t>
      </w:r>
      <w:r w:rsidRPr="000C3C27">
        <w:t>(8), 468-480.</w:t>
      </w:r>
    </w:p>
    <w:p w14:paraId="0474535B" w14:textId="7DAE6AA6" w:rsidR="00E61823" w:rsidRPr="00E61823" w:rsidRDefault="00E61823" w:rsidP="00E61823">
      <w:pPr>
        <w:pStyle w:val="Ref"/>
      </w:pPr>
      <w:r w:rsidRPr="00723AC1">
        <w:t xml:space="preserve">Schröter, B., </w:t>
      </w:r>
      <w:proofErr w:type="spellStart"/>
      <w:r w:rsidRPr="00723AC1">
        <w:t>Hantschel</w:t>
      </w:r>
      <w:proofErr w:type="spellEnd"/>
      <w:r w:rsidRPr="00723AC1">
        <w:t xml:space="preserve">, S., Huber, S., &amp; Gerike, R. (2023). </w:t>
      </w:r>
      <w:r w:rsidRPr="00F509EE">
        <w:t>Determinants of bicycle crashes at urban signalized intersections. </w:t>
      </w:r>
      <w:r w:rsidRPr="00F509EE">
        <w:rPr>
          <w:i/>
          <w:iCs/>
        </w:rPr>
        <w:t>Journal of safety research</w:t>
      </w:r>
      <w:r w:rsidRPr="00F509EE">
        <w:t>, </w:t>
      </w:r>
      <w:r w:rsidRPr="00F509EE">
        <w:rPr>
          <w:i/>
          <w:iCs/>
        </w:rPr>
        <w:t>87</w:t>
      </w:r>
      <w:r w:rsidRPr="00F509EE">
        <w:t>, 132-142.</w:t>
      </w:r>
    </w:p>
    <w:p w14:paraId="16D5AC6D" w14:textId="77777777" w:rsidR="001159DF" w:rsidRPr="00202C94" w:rsidRDefault="001159DF" w:rsidP="00E61823">
      <w:pPr>
        <w:pStyle w:val="Ref"/>
        <w:rPr>
          <w:lang w:val="nb-NO"/>
        </w:rPr>
      </w:pPr>
      <w:proofErr w:type="spellStart"/>
      <w:r w:rsidRPr="00E61823">
        <w:t>Senturia</w:t>
      </w:r>
      <w:proofErr w:type="spellEnd"/>
      <w:r w:rsidRPr="00E61823">
        <w:t xml:space="preserve">, Y. D., Morehead, T., </w:t>
      </w:r>
      <w:proofErr w:type="spellStart"/>
      <w:r w:rsidRPr="00E61823">
        <w:t>LeBailly</w:t>
      </w:r>
      <w:proofErr w:type="spellEnd"/>
      <w:r w:rsidRPr="00E61823">
        <w:t xml:space="preserve">, S., &amp; et al. </w:t>
      </w:r>
      <w:r w:rsidRPr="00CF1CAB">
        <w:t xml:space="preserve">(1997). Bicycle-riding circumstances and injuries in school-aged children: A case-control study. </w:t>
      </w:r>
      <w:r w:rsidRPr="00202C94">
        <w:rPr>
          <w:lang w:val="nb-NO"/>
        </w:rPr>
        <w:t xml:space="preserve">Archives of </w:t>
      </w:r>
      <w:proofErr w:type="spellStart"/>
      <w:r w:rsidRPr="00202C94">
        <w:rPr>
          <w:lang w:val="nb-NO"/>
        </w:rPr>
        <w:t>Pediatrics</w:t>
      </w:r>
      <w:proofErr w:type="spellEnd"/>
      <w:r w:rsidRPr="00202C94">
        <w:rPr>
          <w:lang w:val="nb-NO"/>
        </w:rPr>
        <w:t xml:space="preserve"> &amp; </w:t>
      </w:r>
      <w:proofErr w:type="spellStart"/>
      <w:r w:rsidRPr="00202C94">
        <w:rPr>
          <w:lang w:val="nb-NO"/>
        </w:rPr>
        <w:t>Adolescent</w:t>
      </w:r>
      <w:proofErr w:type="spellEnd"/>
      <w:r w:rsidRPr="00202C94">
        <w:rPr>
          <w:lang w:val="nb-NO"/>
        </w:rPr>
        <w:t xml:space="preserve"> </w:t>
      </w:r>
      <w:proofErr w:type="spellStart"/>
      <w:r w:rsidRPr="00202C94">
        <w:rPr>
          <w:lang w:val="nb-NO"/>
        </w:rPr>
        <w:t>Medicine</w:t>
      </w:r>
      <w:proofErr w:type="spellEnd"/>
      <w:r w:rsidRPr="00202C94">
        <w:rPr>
          <w:lang w:val="nb-NO"/>
        </w:rPr>
        <w:t>, 151(5), 485-489.</w:t>
      </w:r>
    </w:p>
    <w:p w14:paraId="2818853B" w14:textId="77777777" w:rsidR="001159DF" w:rsidRPr="00723AC1" w:rsidRDefault="001159DF" w:rsidP="00E61823">
      <w:pPr>
        <w:pStyle w:val="Ref"/>
        <w:rPr>
          <w:lang w:val="nb-NO"/>
        </w:rPr>
      </w:pPr>
      <w:r w:rsidRPr="00723AC1">
        <w:rPr>
          <w:lang w:val="nb-NO"/>
        </w:rPr>
        <w:t>Statens vegvesen (2014). Temaanalyse av sykkelulykker. Statens vegvesens rapporter nr. 294.</w:t>
      </w:r>
    </w:p>
    <w:p w14:paraId="76C7B61B" w14:textId="77777777" w:rsidR="001159DF" w:rsidRPr="00202C94" w:rsidRDefault="001159DF" w:rsidP="00E61823">
      <w:pPr>
        <w:pStyle w:val="Ref"/>
        <w:rPr>
          <w:lang w:val="nb-NO"/>
        </w:rPr>
      </w:pPr>
      <w:r w:rsidRPr="00723AC1">
        <w:rPr>
          <w:lang w:val="nb-NO"/>
        </w:rPr>
        <w:t xml:space="preserve">Statens vegvesen (2017). </w:t>
      </w:r>
      <w:r w:rsidRPr="00202C94">
        <w:rPr>
          <w:lang w:val="nb-NO"/>
        </w:rPr>
        <w:t xml:space="preserve">Rapport om signalvarslingssystem for syklist i tunnel </w:t>
      </w:r>
      <w:proofErr w:type="spellStart"/>
      <w:r w:rsidRPr="00202C94">
        <w:rPr>
          <w:lang w:val="nb-NO"/>
        </w:rPr>
        <w:t>pa</w:t>
      </w:r>
      <w:proofErr w:type="spellEnd"/>
      <w:r w:rsidRPr="00202C94">
        <w:rPr>
          <w:lang w:val="nb-NO"/>
        </w:rPr>
        <w:t xml:space="preserve"> Senja.</w:t>
      </w:r>
    </w:p>
    <w:p w14:paraId="607D3B88" w14:textId="77777777" w:rsidR="001159DF" w:rsidRPr="00CF1CAB" w:rsidRDefault="001159DF" w:rsidP="00E61823">
      <w:pPr>
        <w:pStyle w:val="Ref"/>
      </w:pPr>
      <w:proofErr w:type="spellStart"/>
      <w:r w:rsidRPr="00CF1CAB">
        <w:t>Sælensminde</w:t>
      </w:r>
      <w:proofErr w:type="spellEnd"/>
      <w:r w:rsidRPr="00CF1CAB">
        <w:t xml:space="preserve">, K. (2004). Cost-benefit analyses of walking and cycling track networks </w:t>
      </w:r>
      <w:proofErr w:type="gramStart"/>
      <w:r w:rsidRPr="00CF1CAB">
        <w:t>taking into account</w:t>
      </w:r>
      <w:proofErr w:type="gramEnd"/>
      <w:r w:rsidRPr="00CF1CAB">
        <w:t xml:space="preserve"> insecurity, health effects and external costs of motorized traffic. Transportation Research Part A: Policy and Practice, 38(8), 593-606.</w:t>
      </w:r>
    </w:p>
    <w:p w14:paraId="0D8554DC" w14:textId="77777777" w:rsidR="001159DF" w:rsidRPr="00202C94" w:rsidRDefault="001159DF" w:rsidP="001159DF">
      <w:pPr>
        <w:ind w:left="709" w:hanging="709"/>
      </w:pPr>
      <w:r w:rsidRPr="00723AC1">
        <w:rPr>
          <w:lang w:val="en-US"/>
        </w:rPr>
        <w:t xml:space="preserve">Sørensen, M.W.J. (2009). </w:t>
      </w:r>
      <w:r w:rsidRPr="00202C94">
        <w:t xml:space="preserve">Kryssløsninger i by. TØI-rapport 1004/2009. </w:t>
      </w:r>
    </w:p>
    <w:p w14:paraId="4F1537A4" w14:textId="77777777" w:rsidR="001159DF" w:rsidRPr="00723AC1" w:rsidRDefault="001159DF" w:rsidP="001159DF">
      <w:pPr>
        <w:ind w:left="709" w:hanging="709"/>
        <w:rPr>
          <w:lang w:val="en-US"/>
        </w:rPr>
      </w:pPr>
      <w:r w:rsidRPr="00252717">
        <w:t xml:space="preserve">Sørensen, M.W.J. (2012). Sykkelekspressveger i Norge og andre land. </w:t>
      </w:r>
      <w:r w:rsidRPr="00723AC1">
        <w:rPr>
          <w:lang w:val="en-US"/>
        </w:rPr>
        <w:t xml:space="preserve">TØI-Rapport 1196/2012. </w:t>
      </w:r>
    </w:p>
    <w:p w14:paraId="6395A877" w14:textId="7F6CC946" w:rsidR="00E61823" w:rsidRPr="00E61823" w:rsidRDefault="00E61823" w:rsidP="001159DF">
      <w:pPr>
        <w:ind w:left="709" w:hanging="709"/>
        <w:rPr>
          <w:lang w:val="en-US"/>
        </w:rPr>
      </w:pPr>
      <w:r w:rsidRPr="00A91314">
        <w:rPr>
          <w:lang w:val="en-US"/>
        </w:rPr>
        <w:lastRenderedPageBreak/>
        <w:t>Saad, M., Abdel-Aty, M., Lee, J., &amp; Cai, Q. (2019). Bicycle safety analysis at intersections from crowdsourced data. </w:t>
      </w:r>
      <w:r w:rsidRPr="00E61823">
        <w:rPr>
          <w:i/>
          <w:iCs/>
          <w:lang w:val="en-US"/>
        </w:rPr>
        <w:t>Transportation research record</w:t>
      </w:r>
      <w:r w:rsidRPr="00E61823">
        <w:rPr>
          <w:lang w:val="en-US"/>
        </w:rPr>
        <w:t>, </w:t>
      </w:r>
      <w:r w:rsidRPr="00E61823">
        <w:rPr>
          <w:i/>
          <w:iCs/>
          <w:lang w:val="en-US"/>
        </w:rPr>
        <w:t>2673</w:t>
      </w:r>
      <w:r w:rsidRPr="00E61823">
        <w:rPr>
          <w:lang w:val="en-US"/>
        </w:rPr>
        <w:t>(4), 1-14.</w:t>
      </w:r>
    </w:p>
    <w:p w14:paraId="459635CA" w14:textId="77777777" w:rsidR="001159DF" w:rsidRDefault="001159DF" w:rsidP="00E61823">
      <w:pPr>
        <w:pStyle w:val="Ref"/>
      </w:pPr>
      <w:r w:rsidRPr="00CF1CAB">
        <w:t xml:space="preserve">Teschke, K., Harris, M. A., Reynolds, C. C., Winters, M., Babul, S., Chipman, M., . . . </w:t>
      </w:r>
      <w:proofErr w:type="spellStart"/>
      <w:r w:rsidRPr="00CF1CAB">
        <w:t>Cripton</w:t>
      </w:r>
      <w:proofErr w:type="spellEnd"/>
      <w:r w:rsidRPr="00CF1CAB">
        <w:t>, P. A. (2012). Route infrastructure and the risk of injuries to bicyclists: a case-crossover study. American Journal of Public Health, 102(12), 2336-2343.</w:t>
      </w:r>
    </w:p>
    <w:p w14:paraId="2DF0E77A" w14:textId="0DED109C" w:rsidR="00E61823" w:rsidRPr="00CF1CAB" w:rsidRDefault="00E61823" w:rsidP="00E61823">
      <w:pPr>
        <w:pStyle w:val="Ref"/>
      </w:pPr>
      <w:r w:rsidRPr="00C5335C">
        <w:t>Thomas, B., &amp; DeRobertis, M. (2013). The safety of urban cycle tracks: A review of the literature. </w:t>
      </w:r>
      <w:r w:rsidRPr="003D7F3E">
        <w:rPr>
          <w:i/>
          <w:iCs/>
        </w:rPr>
        <w:t>Accident Analysis &amp; Prevention</w:t>
      </w:r>
      <w:r w:rsidRPr="003D7F3E">
        <w:t>, </w:t>
      </w:r>
      <w:r w:rsidRPr="003D7F3E">
        <w:rPr>
          <w:i/>
          <w:iCs/>
        </w:rPr>
        <w:t>52</w:t>
      </w:r>
      <w:r w:rsidRPr="003D7F3E">
        <w:t>, 219-227.</w:t>
      </w:r>
    </w:p>
    <w:p w14:paraId="475BF355" w14:textId="77777777" w:rsidR="001159DF" w:rsidRPr="00CF1CAB" w:rsidRDefault="001159DF" w:rsidP="00E61823">
      <w:pPr>
        <w:pStyle w:val="Ref"/>
      </w:pPr>
      <w:r w:rsidRPr="00CF1CAB">
        <w:t>Turner, S., Hughes, T., &amp; Allatt, T. (2009). Cycle safety – reducing the crash risk. Beca Infrastructure Ltd.</w:t>
      </w:r>
    </w:p>
    <w:p w14:paraId="2D92D4F4" w14:textId="77777777" w:rsidR="001159DF" w:rsidRPr="00CF1CAB" w:rsidRDefault="001159DF" w:rsidP="00E61823">
      <w:pPr>
        <w:pStyle w:val="Ref"/>
      </w:pPr>
      <w:r w:rsidRPr="00CF1CAB">
        <w:t>Turner, S., Wood, G., Hughes, T., &amp; Singh, R. (2011). Safety performance functions for bicycle crashes in New Zealand and Australia. Transportation Research Record, 2236, 66-73.</w:t>
      </w:r>
    </w:p>
    <w:p w14:paraId="1FB9C5E2" w14:textId="34E9395B" w:rsidR="0016097D" w:rsidRDefault="0016097D" w:rsidP="00E61823">
      <w:pPr>
        <w:pStyle w:val="Ref"/>
      </w:pPr>
      <w:r w:rsidRPr="00723AC1">
        <w:t xml:space="preserve">van </w:t>
      </w:r>
      <w:proofErr w:type="spellStart"/>
      <w:r w:rsidRPr="00723AC1">
        <w:t>Petegem</w:t>
      </w:r>
      <w:proofErr w:type="spellEnd"/>
      <w:r w:rsidRPr="00723AC1">
        <w:t xml:space="preserve">, J. H., Schepers, P., &amp; </w:t>
      </w:r>
      <w:proofErr w:type="spellStart"/>
      <w:r w:rsidRPr="00723AC1">
        <w:t>Wijlhuizen</w:t>
      </w:r>
      <w:proofErr w:type="spellEnd"/>
      <w:r w:rsidRPr="00723AC1">
        <w:t xml:space="preserve">, G. J. (2021). </w:t>
      </w:r>
      <w:r w:rsidRPr="004453AE">
        <w:t>The safety of physically separated cycle tracks compared to marked cycle lanes and mixed traffic conditions in Amsterdam. </w:t>
      </w:r>
      <w:r w:rsidRPr="004453AE">
        <w:rPr>
          <w:i/>
          <w:iCs/>
        </w:rPr>
        <w:t>European Journal of Transport and Infrastructure Research</w:t>
      </w:r>
      <w:r w:rsidRPr="004453AE">
        <w:t>, </w:t>
      </w:r>
      <w:r w:rsidRPr="004453AE">
        <w:rPr>
          <w:i/>
          <w:iCs/>
        </w:rPr>
        <w:t>21</w:t>
      </w:r>
      <w:r w:rsidRPr="004453AE">
        <w:t>(3), 19-37.</w:t>
      </w:r>
    </w:p>
    <w:p w14:paraId="3D79C44C" w14:textId="2EB6391C" w:rsidR="001159DF" w:rsidRPr="00CF1CAB" w:rsidRDefault="001159DF" w:rsidP="00E61823">
      <w:pPr>
        <w:pStyle w:val="Ref"/>
      </w:pPr>
      <w:proofErr w:type="spellStart"/>
      <w:r w:rsidRPr="00CF1CAB">
        <w:t>Vandenbulcke</w:t>
      </w:r>
      <w:proofErr w:type="spellEnd"/>
      <w:r w:rsidRPr="00CF1CAB">
        <w:t>, G., Thomas, I., &amp; Int Panis, L. (2014). Predicting cycling accident risk in Brussels: A spatial case-control approach. Accident Analysis &amp; Prevention, 62, 341-357.</w:t>
      </w:r>
    </w:p>
    <w:p w14:paraId="6F3E1D7E" w14:textId="77777777" w:rsidR="001159DF" w:rsidRPr="00CF1CAB" w:rsidRDefault="001159DF" w:rsidP="0016097D">
      <w:pPr>
        <w:pStyle w:val="Ref"/>
        <w:rPr>
          <w:lang w:val="da-DK"/>
        </w:rPr>
      </w:pPr>
      <w:proofErr w:type="spellStart"/>
      <w:r w:rsidRPr="00723AC1">
        <w:t>Vavatsoulas</w:t>
      </w:r>
      <w:proofErr w:type="spellEnd"/>
      <w:r w:rsidRPr="00723AC1">
        <w:t xml:space="preserve">, K., Kaplan, S., &amp; Prato, C. G. (2013). </w:t>
      </w:r>
      <w:r w:rsidRPr="00CF1CAB">
        <w:t>The risk factors associated with bicycle crash severity: Evidence from Denmark. </w:t>
      </w:r>
      <w:r w:rsidRPr="00CF1CAB">
        <w:rPr>
          <w:lang w:val="da-DK"/>
        </w:rPr>
        <w:t>13th WCTR, July 15-18, 2013 – Rio de Janeiro, Brazil.</w:t>
      </w:r>
    </w:p>
    <w:p w14:paraId="3CFE6ECC" w14:textId="77777777" w:rsidR="001159DF" w:rsidRPr="00723AC1" w:rsidRDefault="001159DF" w:rsidP="0016097D">
      <w:pPr>
        <w:pStyle w:val="Ref"/>
        <w:rPr>
          <w:lang w:val="da-DK"/>
        </w:rPr>
      </w:pPr>
      <w:r w:rsidRPr="00723AC1">
        <w:rPr>
          <w:lang w:val="da-DK"/>
        </w:rPr>
        <w:t>Vejdirektoratet (2000). Idékatalog for cykeltrafik, Vejdirektoratet, København.</w:t>
      </w:r>
    </w:p>
    <w:p w14:paraId="4CFB6A76" w14:textId="64301A4A" w:rsidR="0016097D" w:rsidRDefault="0016097D" w:rsidP="0016097D">
      <w:pPr>
        <w:pStyle w:val="Ref"/>
      </w:pPr>
      <w:r w:rsidRPr="0016097D">
        <w:t xml:space="preserve">Wachtel, A., &amp; Lewiston, D. (1996). </w:t>
      </w:r>
      <w:r w:rsidRPr="0063052F">
        <w:t>Risk factors for bicycle-motor vehicle collisions at intersections. </w:t>
      </w:r>
      <w:r w:rsidRPr="0063052F">
        <w:rPr>
          <w:i/>
          <w:iCs/>
        </w:rPr>
        <w:t>Journal of Safety Research</w:t>
      </w:r>
      <w:r w:rsidRPr="0063052F">
        <w:t>, </w:t>
      </w:r>
      <w:r w:rsidRPr="0063052F">
        <w:rPr>
          <w:i/>
          <w:iCs/>
        </w:rPr>
        <w:t>3</w:t>
      </w:r>
      <w:r w:rsidRPr="0063052F">
        <w:t>(27), 195.</w:t>
      </w:r>
    </w:p>
    <w:p w14:paraId="372EA21F" w14:textId="130E5C8D" w:rsidR="0016097D" w:rsidRDefault="0016097D" w:rsidP="0016097D">
      <w:pPr>
        <w:pStyle w:val="Ref"/>
      </w:pPr>
      <w:r w:rsidRPr="007A0212">
        <w:t>Wall, S. P., Lee, D. C., Frangos, S. G., Sethi, M., Heyer, J. H., Ayoung-Chee, P., &amp; DiMaggio, C. J. (2016). The effect of sharrows, painted bicycle lanes and physically protected paths on the severity of bicycle injuries caused by motor vehicles. </w:t>
      </w:r>
      <w:r w:rsidRPr="007A0212">
        <w:rPr>
          <w:i/>
          <w:iCs/>
        </w:rPr>
        <w:t>Safety</w:t>
      </w:r>
      <w:r w:rsidRPr="007A0212">
        <w:t>, </w:t>
      </w:r>
      <w:r w:rsidRPr="007A0212">
        <w:rPr>
          <w:i/>
          <w:iCs/>
        </w:rPr>
        <w:t>2</w:t>
      </w:r>
      <w:r w:rsidRPr="007A0212">
        <w:t>(4), 26.</w:t>
      </w:r>
    </w:p>
    <w:p w14:paraId="6A8EB929" w14:textId="0062457F" w:rsidR="0016097D" w:rsidRPr="00723AC1" w:rsidRDefault="0016097D" w:rsidP="0016097D">
      <w:pPr>
        <w:pStyle w:val="Ref"/>
        <w:rPr>
          <w:lang w:val="sv-SE"/>
        </w:rPr>
      </w:pPr>
      <w:r w:rsidRPr="0098583E">
        <w:t xml:space="preserve">Wheeler, A.H., Leicester, M.A. &amp; Underwood, G. (1993). Advanced stop-lines for cyclists. </w:t>
      </w:r>
      <w:r w:rsidRPr="00723AC1">
        <w:rPr>
          <w:lang w:val="sv-SE"/>
        </w:rPr>
        <w:t>Traffic Engineering &amp; Control, 34, 54-60.</w:t>
      </w:r>
    </w:p>
    <w:p w14:paraId="7DCBA27F" w14:textId="2632342E" w:rsidR="0016097D" w:rsidRDefault="0016097D" w:rsidP="0016097D">
      <w:pPr>
        <w:pStyle w:val="Ref"/>
        <w:rPr>
          <w:lang w:val="sv-SE"/>
        </w:rPr>
      </w:pPr>
      <w:bookmarkStart w:id="108" w:name="_Hlk197424648"/>
      <w:r w:rsidRPr="0016097D">
        <w:rPr>
          <w:lang w:val="sv-SE"/>
        </w:rPr>
        <w:t>Wählby, S., &amp; Olausson, P. (2021</w:t>
      </w:r>
      <w:bookmarkEnd w:id="108"/>
      <w:r w:rsidRPr="0016097D">
        <w:rPr>
          <w:lang w:val="sv-SE"/>
        </w:rPr>
        <w:t xml:space="preserve">). </w:t>
      </w:r>
      <w:r w:rsidRPr="00747C47">
        <w:rPr>
          <w:lang w:val="sv-SE"/>
        </w:rPr>
        <w:t>Cyklister i korsningar-en jämförelse mellan säkerhet och trygghet.</w:t>
      </w:r>
    </w:p>
    <w:p w14:paraId="125B7F07" w14:textId="5B24E291" w:rsidR="0016097D" w:rsidRPr="0016097D" w:rsidRDefault="0016097D" w:rsidP="0016097D">
      <w:pPr>
        <w:pStyle w:val="Ref"/>
      </w:pPr>
      <w:r w:rsidRPr="00ED03AC">
        <w:rPr>
          <w:lang w:val="de-DE"/>
        </w:rPr>
        <w:t xml:space="preserve">Yeung, C. M., Lu, L. Y., </w:t>
      </w:r>
      <w:proofErr w:type="spellStart"/>
      <w:r w:rsidRPr="00ED03AC">
        <w:rPr>
          <w:lang w:val="de-DE"/>
        </w:rPr>
        <w:t>Walley</w:t>
      </w:r>
      <w:proofErr w:type="spellEnd"/>
      <w:r w:rsidRPr="00ED03AC">
        <w:rPr>
          <w:lang w:val="de-DE"/>
        </w:rPr>
        <w:t xml:space="preserve">, K. C., Fischer, C. M., &amp; Rodriguez, E. K. (2023). </w:t>
      </w:r>
      <w:r w:rsidRPr="00ED03AC">
        <w:t>Safety factors and patterns of bicycle trauma in a tertiary level 1 trauma center in Boston, Massachusetts: a retrospective review and survey study. </w:t>
      </w:r>
      <w:r w:rsidRPr="00ED03AC">
        <w:rPr>
          <w:i/>
          <w:iCs/>
        </w:rPr>
        <w:t>Archives of bone and joint surgery</w:t>
      </w:r>
      <w:r w:rsidRPr="00ED03AC">
        <w:t>, </w:t>
      </w:r>
      <w:r w:rsidRPr="00ED03AC">
        <w:rPr>
          <w:i/>
          <w:iCs/>
        </w:rPr>
        <w:t>11</w:t>
      </w:r>
      <w:r w:rsidRPr="00ED03AC">
        <w:t>(4), 285.</w:t>
      </w:r>
    </w:p>
    <w:p w14:paraId="41203299" w14:textId="77777777" w:rsidR="007B731D" w:rsidRDefault="001159DF" w:rsidP="0016097D">
      <w:pPr>
        <w:pStyle w:val="Ref"/>
      </w:pPr>
      <w:r w:rsidRPr="007F71BC">
        <w:t xml:space="preserve">Aarts, L. T., Commandeur, J. J. F., Welsh, R., Niesen, S., Lerner, M., Thomas, P., . . . </w:t>
      </w:r>
      <w:proofErr w:type="spellStart"/>
      <w:r w:rsidRPr="00CF1CAB">
        <w:t>Davidse</w:t>
      </w:r>
      <w:proofErr w:type="spellEnd"/>
      <w:r w:rsidRPr="00CF1CAB">
        <w:t xml:space="preserve">, R. J. (2016). Study on Serious Road Traffic Injuries in the EU. SWOV, Loughborough University, </w:t>
      </w:r>
      <w:proofErr w:type="spellStart"/>
      <w:r w:rsidRPr="00CF1CAB">
        <w:t>BASt</w:t>
      </w:r>
      <w:proofErr w:type="spellEnd"/>
      <w:r w:rsidRPr="00CF1CAB">
        <w:t>. European Commission Contract no.: MOVE/C4/SER/2015- 162/SI2.714669.</w:t>
      </w:r>
    </w:p>
    <w:p w14:paraId="636F022F" w14:textId="5F89B637" w:rsidR="000B3561" w:rsidRPr="001159DF" w:rsidRDefault="000B3561" w:rsidP="000B3561">
      <w:pPr>
        <w:rPr>
          <w:lang w:val="en-US"/>
        </w:rPr>
      </w:pPr>
    </w:p>
    <w:sectPr w:rsidR="000B3561" w:rsidRPr="001159DF" w:rsidSect="001E65E0">
      <w:headerReference w:type="even" r:id="rId39"/>
      <w:headerReference w:type="default" r:id="rId40"/>
      <w:footerReference w:type="even" r:id="rId41"/>
      <w:footerReference w:type="default" r:id="rId42"/>
      <w:pgSz w:w="11906" w:h="16838" w:code="9"/>
      <w:pgMar w:top="1701" w:right="1418" w:bottom="1418" w:left="1418" w:header="851" w:footer="851"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B">
      <wne:acd wne:acdName="acd1"/>
    </wne:keymap>
    <wne:keymap wne:kcmPrimary="0657">
      <wne:acd wne:acdName="acd0"/>
    </wne:keymap>
  </wne:keymaps>
  <wne:toolbars>
    <wne:acdManifest>
      <wne:acdEntry wne:acdName="acd0"/>
      <wne:acdEntry wne:acdName="acd1"/>
    </wne:acdManifest>
  </wne:toolbars>
  <wne:acds>
    <wne:acd wne:argValue="AQAAAAAA" wne:acdName="acd0" wne:fciIndexBasedOn="0065"/>
    <wne:acd wne:argValue="AgBLAG8AbQBtAGUAbgB0AGEAc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6B1D" w14:textId="77777777" w:rsidR="002C6A17" w:rsidRDefault="002C6A17" w:rsidP="00BE5E84">
      <w:r>
        <w:separator/>
      </w:r>
    </w:p>
  </w:endnote>
  <w:endnote w:type="continuationSeparator" w:id="0">
    <w:p w14:paraId="15FCA2BB" w14:textId="77777777" w:rsidR="002C6A17" w:rsidRDefault="002C6A17" w:rsidP="00BE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Hlk102481957"/>
  <w:bookmarkStart w:id="7" w:name="_Hlk102481958"/>
  <w:p w14:paraId="3DBA1AFB" w14:textId="77777777" w:rsidR="000100E5" w:rsidRPr="0072315E" w:rsidRDefault="000100E5" w:rsidP="0072315E">
    <w:pPr>
      <w:pStyle w:val="Bunntekst"/>
      <w:tabs>
        <w:tab w:val="clear" w:pos="4536"/>
        <w:tab w:val="center" w:pos="4270"/>
      </w:tabs>
      <w:spacing w:after="0"/>
      <w:jc w:val="center"/>
      <w:rPr>
        <w:sz w:val="14"/>
        <w:szCs w:val="14"/>
        <w:u w:val="single"/>
      </w:rPr>
    </w:pPr>
    <w:r w:rsidRPr="0087015B">
      <w:rPr>
        <w:noProof/>
        <w:sz w:val="14"/>
        <w:szCs w:val="14"/>
      </w:rPr>
      <mc:AlternateContent>
        <mc:Choice Requires="wps">
          <w:drawing>
            <wp:anchor distT="0" distB="0" distL="114300" distR="114300" simplePos="0" relativeHeight="251678208" behindDoc="0" locked="0" layoutInCell="1" allowOverlap="1" wp14:anchorId="7B00BA13" wp14:editId="65EF5945">
              <wp:simplePos x="0" y="0"/>
              <wp:positionH relativeFrom="page">
                <wp:posOffset>900430</wp:posOffset>
              </wp:positionH>
              <wp:positionV relativeFrom="page">
                <wp:posOffset>9946005</wp:posOffset>
              </wp:positionV>
              <wp:extent cx="5760000" cy="0"/>
              <wp:effectExtent l="0" t="0" r="31750" b="19050"/>
              <wp:wrapNone/>
              <wp:docPr id="11" name="Rett linj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340D0D" id="Rett linje 11" o:spid="_x0000_s1026" alt="&quot;&quot;" style="position:absolute;z-index:251678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83.15pt" to="524.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" strokecolor="black [3213]" strokeweight=".25pt">
              <w10:wrap anchorx="page" anchory="page"/>
            </v:line>
          </w:pict>
        </mc:Fallback>
      </mc:AlternateContent>
    </w:r>
    <w:r w:rsidRPr="0087015B">
      <w:rPr>
        <w:sz w:val="14"/>
        <w:szCs w:val="14"/>
      </w:rPr>
      <w:t>Transportøkonomisk Institutt, Gaustadalléen 21, 0349 Oslo Telefon 22 57 38 00 E-post:</w:t>
    </w:r>
    <w:r w:rsidRPr="00647B75">
      <w:rPr>
        <w:color w:val="336699" w:themeColor="accent6"/>
        <w:sz w:val="14"/>
        <w:szCs w:val="14"/>
      </w:rPr>
      <w:t xml:space="preserve"> </w:t>
    </w:r>
    <w:hyperlink r:id="rId1" w:history="1">
      <w:r w:rsidRPr="00647B75">
        <w:rPr>
          <w:rStyle w:val="Hyperkobling"/>
          <w:color w:val="336699" w:themeColor="accent6"/>
          <w:sz w:val="14"/>
          <w:szCs w:val="14"/>
        </w:rPr>
        <w:t>toi@toi.no</w:t>
      </w:r>
    </w:hyperlink>
    <w:r w:rsidRPr="00647B75">
      <w:rPr>
        <w:color w:val="336699" w:themeColor="accent6"/>
        <w:sz w:val="14"/>
        <w:szCs w:val="14"/>
      </w:rPr>
      <w:t xml:space="preserve"> </w:t>
    </w:r>
    <w:hyperlink r:id="rId2" w:history="1">
      <w:r w:rsidRPr="00647B75">
        <w:rPr>
          <w:rStyle w:val="Hyperkobling"/>
          <w:color w:val="336699" w:themeColor="accent6"/>
          <w:sz w:val="14"/>
          <w:szCs w:val="14"/>
        </w:rPr>
        <w:t>www.toi.no</w:t>
      </w:r>
    </w:hyperlink>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91D65" w14:textId="77777777" w:rsidR="00B43D7D" w:rsidRPr="00621CCF" w:rsidRDefault="00B43D7D" w:rsidP="00615C8E">
    <w:pPr>
      <w:pStyle w:val="Bunntekst"/>
      <w:tabs>
        <w:tab w:val="clear" w:pos="4536"/>
        <w:tab w:val="center" w:pos="4270"/>
      </w:tabs>
      <w:spacing w:after="0"/>
      <w:jc w:val="center"/>
      <w:rPr>
        <w:sz w:val="14"/>
        <w:szCs w:val="14"/>
        <w:u w:val="single"/>
        <w:lang w:val="nn-NO"/>
      </w:rPr>
    </w:pPr>
    <w:r w:rsidRPr="0087015B">
      <w:rPr>
        <w:noProof/>
        <w:sz w:val="14"/>
        <w:szCs w:val="14"/>
      </w:rPr>
      <mc:AlternateContent>
        <mc:Choice Requires="wps">
          <w:drawing>
            <wp:anchor distT="0" distB="0" distL="114300" distR="114300" simplePos="0" relativeHeight="251668992" behindDoc="0" locked="0" layoutInCell="1" allowOverlap="1" wp14:anchorId="2A40A6E0" wp14:editId="0D4EAE0E">
              <wp:simplePos x="0" y="0"/>
              <wp:positionH relativeFrom="page">
                <wp:posOffset>900430</wp:posOffset>
              </wp:positionH>
              <wp:positionV relativeFrom="page">
                <wp:posOffset>9946005</wp:posOffset>
              </wp:positionV>
              <wp:extent cx="5760000" cy="0"/>
              <wp:effectExtent l="0" t="0" r="31750" b="19050"/>
              <wp:wrapNone/>
              <wp:docPr id="5" name="Rett linj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45662" id="Rett linje 5" o:spid="_x0000_s1026" alt="&quot;&quot;" style="position:absolute;z-index:251668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83.15pt" to="524.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" strokecolor="black [3213]" strokeweight=".25pt">
              <w10:wrap anchorx="page" anchory="page"/>
            </v:line>
          </w:pict>
        </mc:Fallback>
      </mc:AlternateContent>
    </w:r>
    <w:r w:rsidRPr="00621CCF">
      <w:rPr>
        <w:sz w:val="14"/>
        <w:szCs w:val="14"/>
        <w:lang w:val="nn-NO"/>
      </w:rPr>
      <w:t>Transportøkonomisk Institutt, Gaustadalléen 21, 0349 Oslo</w:t>
    </w:r>
    <w:r w:rsidR="00BA7F3B" w:rsidRPr="00621CCF">
      <w:rPr>
        <w:sz w:val="14"/>
        <w:szCs w:val="14"/>
        <w:lang w:val="nn-NO"/>
      </w:rPr>
      <w:t>,</w:t>
    </w:r>
    <w:r w:rsidRPr="00621CCF">
      <w:rPr>
        <w:sz w:val="14"/>
        <w:szCs w:val="14"/>
        <w:lang w:val="nn-NO"/>
      </w:rPr>
      <w:t xml:space="preserve"> E-post:</w:t>
    </w:r>
    <w:r w:rsidRPr="00621CCF">
      <w:rPr>
        <w:color w:val="336699" w:themeColor="accent6"/>
        <w:sz w:val="14"/>
        <w:szCs w:val="14"/>
        <w:lang w:val="nn-NO"/>
      </w:rPr>
      <w:t xml:space="preserve"> </w:t>
    </w:r>
    <w:hyperlink r:id="rId1" w:history="1">
      <w:r w:rsidRPr="00621CCF">
        <w:rPr>
          <w:rStyle w:val="Hyperkobling"/>
          <w:color w:val="336699" w:themeColor="accent6"/>
          <w:sz w:val="14"/>
          <w:szCs w:val="14"/>
          <w:lang w:val="nn-NO"/>
        </w:rPr>
        <w:t>toi@toi.no</w:t>
      </w:r>
    </w:hyperlink>
    <w:r w:rsidRPr="00621CCF">
      <w:rPr>
        <w:color w:val="336699" w:themeColor="accent6"/>
        <w:sz w:val="14"/>
        <w:szCs w:val="14"/>
        <w:lang w:val="nn-NO"/>
      </w:rPr>
      <w:t xml:space="preserve"> </w:t>
    </w:r>
    <w:hyperlink r:id="rId2" w:history="1">
      <w:r w:rsidRPr="00621CCF">
        <w:rPr>
          <w:rStyle w:val="Hyperkobling"/>
          <w:color w:val="336699" w:themeColor="accent6"/>
          <w:sz w:val="14"/>
          <w:szCs w:val="14"/>
          <w:lang w:val="nn-NO"/>
        </w:rPr>
        <w:t>www.toi.no</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3A7B" w14:textId="77777777" w:rsidR="003C027C" w:rsidRPr="003C027C" w:rsidRDefault="003C027C" w:rsidP="003C027C">
    <w:pPr>
      <w:pStyle w:val="Bunntekst"/>
      <w:tabs>
        <w:tab w:val="clear" w:pos="4536"/>
        <w:tab w:val="center" w:pos="4270"/>
      </w:tabs>
      <w:spacing w:after="0"/>
      <w:jc w:val="center"/>
      <w:rPr>
        <w:sz w:val="14"/>
        <w:szCs w:val="14"/>
        <w:u w:val="single"/>
      </w:rPr>
    </w:pPr>
    <w:r w:rsidRPr="003C027C">
      <w:rPr>
        <w:noProof/>
        <w:sz w:val="14"/>
        <w:szCs w:val="14"/>
      </w:rPr>
      <mc:AlternateContent>
        <mc:Choice Requires="wps">
          <w:drawing>
            <wp:anchor distT="0" distB="0" distL="114300" distR="114300" simplePos="0" relativeHeight="251676160" behindDoc="0" locked="1" layoutInCell="1" allowOverlap="1" wp14:anchorId="1E77F7ED" wp14:editId="7B6EF258">
              <wp:simplePos x="0" y="0"/>
              <wp:positionH relativeFrom="page">
                <wp:posOffset>900430</wp:posOffset>
              </wp:positionH>
              <wp:positionV relativeFrom="page">
                <wp:posOffset>9900920</wp:posOffset>
              </wp:positionV>
              <wp:extent cx="370205" cy="269875"/>
              <wp:effectExtent l="0" t="0" r="10795" b="10160"/>
              <wp:wrapNone/>
              <wp:docPr id="7" name="Tekstboks 7"/>
              <wp:cNvGraphicFramePr/>
              <a:graphic xmlns:a="http://schemas.openxmlformats.org/drawingml/2006/main">
                <a:graphicData uri="http://schemas.microsoft.com/office/word/2010/wordprocessingShape">
                  <wps:wsp>
                    <wps:cNvSpPr txBox="1"/>
                    <wps:spPr>
                      <a:xfrm>
                        <a:off x="0" y="0"/>
                        <a:ext cx="370205" cy="269875"/>
                      </a:xfrm>
                      <a:prstGeom prst="rect">
                        <a:avLst/>
                      </a:prstGeom>
                      <a:noFill/>
                      <a:ln w="6350">
                        <a:noFill/>
                      </a:ln>
                    </wps:spPr>
                    <wps:txbx>
                      <w:txbxContent>
                        <w:p w14:paraId="0FC33CEE" w14:textId="77777777" w:rsidR="003C027C" w:rsidRPr="006D7D99" w:rsidRDefault="003C027C" w:rsidP="003C027C">
                          <w:pPr>
                            <w:spacing w:after="0"/>
                            <w:rPr>
                              <w:rFonts w:cs="Calibri"/>
                              <w:color w:val="3F868D" w:themeColor="accent1"/>
                              <w:szCs w:val="24"/>
                            </w:rPr>
                          </w:pPr>
                          <w:r>
                            <w:rPr>
                              <w:rFonts w:cs="Calibri"/>
                              <w:color w:val="3F868D" w:themeColor="accent1"/>
                              <w:szCs w:val="24"/>
                            </w:rPr>
                            <w:fldChar w:fldCharType="begin"/>
                          </w:r>
                          <w:r>
                            <w:rPr>
                              <w:rFonts w:cs="Calibri"/>
                              <w:color w:val="3F868D" w:themeColor="accent1"/>
                              <w:szCs w:val="24"/>
                            </w:rPr>
                            <w:instrText xml:space="preserve"> PAGE   \* MERGEFORMAT </w:instrText>
                          </w:r>
                          <w:r>
                            <w:rPr>
                              <w:rFonts w:cs="Calibri"/>
                              <w:color w:val="3F868D" w:themeColor="accent1"/>
                              <w:szCs w:val="24"/>
                            </w:rPr>
                            <w:fldChar w:fldCharType="separate"/>
                          </w:r>
                          <w:r>
                            <w:rPr>
                              <w:rFonts w:cs="Calibri"/>
                              <w:noProof/>
                              <w:color w:val="3F868D" w:themeColor="accent1"/>
                              <w:szCs w:val="24"/>
                            </w:rPr>
                            <w:t>2</w:t>
                          </w:r>
                          <w:r>
                            <w:rPr>
                              <w:rFonts w:cs="Calibri"/>
                              <w:color w:val="3F868D" w:themeColor="accent1"/>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E77F7ED" id="_x0000_t202" coordsize="21600,21600" o:spt="202" path="m,l,21600r21600,l21600,xe">
              <v:stroke joinstyle="miter"/>
              <v:path gradientshapeok="t" o:connecttype="rect"/>
            </v:shapetype>
            <v:shape id="Tekstboks 7" o:spid="_x0000_s1027" type="#_x0000_t202" style="position:absolute;left:0;text-align:left;margin-left:70.9pt;margin-top:779.6pt;width:29.15pt;height:21.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CnDQIAABsEAAAOAAAAZHJzL2Uyb0RvYy54bWysU11r2zAUfR/sPwi9L3ZSknY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" filled="f" stroked="f" strokeweight=".5pt">
              <v:textbox style="mso-fit-shape-to-text:t" inset="0,0,0,0">
                <w:txbxContent>
                  <w:p w14:paraId="0FC33CEE" w14:textId="77777777" w:rsidR="003C027C" w:rsidRPr="006D7D99" w:rsidRDefault="003C027C" w:rsidP="003C027C">
                    <w:pPr>
                      <w:spacing w:after="0"/>
                      <w:rPr>
                        <w:rFonts w:cs="Calibri"/>
                        <w:color w:val="3F868D" w:themeColor="accent1"/>
                        <w:szCs w:val="24"/>
                      </w:rPr>
                    </w:pPr>
                    <w:r>
                      <w:rPr>
                        <w:rFonts w:cs="Calibri"/>
                        <w:color w:val="3F868D" w:themeColor="accent1"/>
                        <w:szCs w:val="24"/>
                      </w:rPr>
                      <w:fldChar w:fldCharType="begin"/>
                    </w:r>
                    <w:r>
                      <w:rPr>
                        <w:rFonts w:cs="Calibri"/>
                        <w:color w:val="3F868D" w:themeColor="accent1"/>
                        <w:szCs w:val="24"/>
                      </w:rPr>
                      <w:instrText xml:space="preserve"> PAGE   \* MERGEFORMAT </w:instrText>
                    </w:r>
                    <w:r>
                      <w:rPr>
                        <w:rFonts w:cs="Calibri"/>
                        <w:color w:val="3F868D" w:themeColor="accent1"/>
                        <w:szCs w:val="24"/>
                      </w:rPr>
                      <w:fldChar w:fldCharType="separate"/>
                    </w:r>
                    <w:r>
                      <w:rPr>
                        <w:rFonts w:cs="Calibri"/>
                        <w:noProof/>
                        <w:color w:val="3F868D" w:themeColor="accent1"/>
                        <w:szCs w:val="24"/>
                      </w:rPr>
                      <w:t>2</w:t>
                    </w:r>
                    <w:r>
                      <w:rPr>
                        <w:rFonts w:cs="Calibri"/>
                        <w:color w:val="3F868D" w:themeColor="accent1"/>
                        <w:szCs w:val="24"/>
                      </w:rPr>
                      <w:fldChar w:fldCharType="end"/>
                    </w:r>
                  </w:p>
                </w:txbxContent>
              </v:textbox>
              <w10:wrap anchorx="page" anchory="page"/>
              <w10:anchorlock/>
            </v:shape>
          </w:pict>
        </mc:Fallback>
      </mc:AlternateContent>
    </w:r>
    <w:r w:rsidRPr="0087015B">
      <w:rPr>
        <w:noProof/>
        <w:sz w:val="14"/>
        <w:szCs w:val="14"/>
      </w:rPr>
      <mc:AlternateContent>
        <mc:Choice Requires="wps">
          <w:drawing>
            <wp:anchor distT="0" distB="0" distL="114300" distR="114300" simplePos="0" relativeHeight="251675136" behindDoc="0" locked="0" layoutInCell="1" allowOverlap="1" wp14:anchorId="6A542376" wp14:editId="38E14BB2">
              <wp:simplePos x="0" y="0"/>
              <wp:positionH relativeFrom="page">
                <wp:posOffset>900430</wp:posOffset>
              </wp:positionH>
              <wp:positionV relativeFrom="page">
                <wp:posOffset>9946005</wp:posOffset>
              </wp:positionV>
              <wp:extent cx="5760000" cy="0"/>
              <wp:effectExtent l="0" t="0" r="31750" b="19050"/>
              <wp:wrapNone/>
              <wp:docPr id="9" name="Rett linj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D00A15" id="Rett linje 9" o:spid="_x0000_s1026" alt="&quot;&quot;" style="position:absolute;z-index:251675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83.15pt" to="524.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" strokecolor="black [3213]" strokeweight=".25pt">
              <w10:wrap anchorx="page" anchory="page"/>
            </v:line>
          </w:pict>
        </mc:Fallback>
      </mc:AlternateContent>
    </w:r>
    <w:r w:rsidRPr="0087015B">
      <w:rPr>
        <w:sz w:val="14"/>
        <w:szCs w:val="14"/>
      </w:rPr>
      <w:t>Transportøkonomisk Institutt, Gaustadalléen 21, 0349 Oslo Telefon 22 57 38 00 E-post:</w:t>
    </w:r>
    <w:r w:rsidRPr="00647B75">
      <w:rPr>
        <w:color w:val="336699" w:themeColor="accent6"/>
        <w:sz w:val="14"/>
        <w:szCs w:val="14"/>
      </w:rPr>
      <w:t xml:space="preserve"> </w:t>
    </w:r>
    <w:hyperlink r:id="rId1" w:history="1">
      <w:r w:rsidRPr="00647B75">
        <w:rPr>
          <w:rStyle w:val="Hyperkobling"/>
          <w:color w:val="336699" w:themeColor="accent6"/>
          <w:sz w:val="14"/>
          <w:szCs w:val="14"/>
        </w:rPr>
        <w:t>toi@toi.no</w:t>
      </w:r>
    </w:hyperlink>
    <w:r w:rsidRPr="00647B75">
      <w:rPr>
        <w:color w:val="336699" w:themeColor="accent6"/>
        <w:sz w:val="14"/>
        <w:szCs w:val="14"/>
      </w:rPr>
      <w:t xml:space="preserve"> </w:t>
    </w:r>
    <w:hyperlink r:id="rId2" w:history="1">
      <w:r w:rsidRPr="00647B75">
        <w:rPr>
          <w:rStyle w:val="Hyperkobling"/>
          <w:color w:val="336699" w:themeColor="accent6"/>
          <w:sz w:val="14"/>
          <w:szCs w:val="14"/>
        </w:rPr>
        <w:t>www.toi.no</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437A" w14:textId="77777777" w:rsidR="00B43D7D" w:rsidRPr="00621CCF" w:rsidRDefault="00B43D7D" w:rsidP="00615C8E">
    <w:pPr>
      <w:pStyle w:val="Bunntekst"/>
      <w:tabs>
        <w:tab w:val="clear" w:pos="4536"/>
        <w:tab w:val="center" w:pos="4270"/>
      </w:tabs>
      <w:spacing w:after="0"/>
      <w:jc w:val="center"/>
      <w:rPr>
        <w:sz w:val="14"/>
        <w:szCs w:val="14"/>
        <w:u w:val="single"/>
        <w:lang w:val="nn-NO"/>
      </w:rPr>
    </w:pPr>
    <w:r w:rsidRPr="0087015B">
      <w:rPr>
        <w:noProof/>
        <w:sz w:val="14"/>
        <w:szCs w:val="14"/>
      </w:rPr>
      <mc:AlternateContent>
        <mc:Choice Requires="wps">
          <w:drawing>
            <wp:anchor distT="0" distB="0" distL="114300" distR="114300" simplePos="0" relativeHeight="251666944" behindDoc="0" locked="1" layoutInCell="1" allowOverlap="1" wp14:anchorId="3621BFBC" wp14:editId="47C5617E">
              <wp:simplePos x="0" y="0"/>
              <wp:positionH relativeFrom="page">
                <wp:posOffset>5990590</wp:posOffset>
              </wp:positionH>
              <wp:positionV relativeFrom="page">
                <wp:posOffset>9901555</wp:posOffset>
              </wp:positionV>
              <wp:extent cx="669600" cy="270000"/>
              <wp:effectExtent l="0" t="0" r="0" b="0"/>
              <wp:wrapNone/>
              <wp:docPr id="2" name="Tekstboks 2"/>
              <wp:cNvGraphicFramePr/>
              <a:graphic xmlns:a="http://schemas.openxmlformats.org/drawingml/2006/main">
                <a:graphicData uri="http://schemas.microsoft.com/office/word/2010/wordprocessingShape">
                  <wps:wsp>
                    <wps:cNvSpPr txBox="1"/>
                    <wps:spPr>
                      <a:xfrm>
                        <a:off x="0" y="0"/>
                        <a:ext cx="669600" cy="270000"/>
                      </a:xfrm>
                      <a:prstGeom prst="rect">
                        <a:avLst/>
                      </a:prstGeom>
                      <a:noFill/>
                      <a:ln w="6350">
                        <a:noFill/>
                      </a:ln>
                    </wps:spPr>
                    <wps:txbx>
                      <w:txbxContent>
                        <w:p w14:paraId="74542942" w14:textId="77777777" w:rsidR="00B43D7D" w:rsidRPr="006D7D99" w:rsidRDefault="00B43D7D" w:rsidP="00615C8E">
                          <w:pPr>
                            <w:spacing w:after="0"/>
                            <w:jc w:val="right"/>
                            <w:rPr>
                              <w:rFonts w:cs="Calibri"/>
                              <w:color w:val="3F868D" w:themeColor="accent1"/>
                              <w:szCs w:val="24"/>
                            </w:rPr>
                          </w:pPr>
                          <w:r w:rsidRPr="006D7D99">
                            <w:rPr>
                              <w:rFonts w:cs="Calibri"/>
                              <w:color w:val="3F868D" w:themeColor="accent1"/>
                              <w:szCs w:val="24"/>
                            </w:rPr>
                            <w:fldChar w:fldCharType="begin"/>
                          </w:r>
                          <w:r w:rsidRPr="006D7D99">
                            <w:rPr>
                              <w:rFonts w:cs="Calibri"/>
                              <w:color w:val="3F868D" w:themeColor="accent1"/>
                              <w:szCs w:val="24"/>
                            </w:rPr>
                            <w:instrText xml:space="preserve"> page </w:instrText>
                          </w:r>
                          <w:r w:rsidRPr="006D7D99">
                            <w:rPr>
                              <w:rFonts w:cs="Calibri"/>
                              <w:color w:val="3F868D" w:themeColor="accent1"/>
                              <w:szCs w:val="24"/>
                            </w:rPr>
                            <w:fldChar w:fldCharType="separate"/>
                          </w:r>
                          <w:r w:rsidRPr="006D7D99">
                            <w:rPr>
                              <w:rFonts w:cs="Calibri"/>
                              <w:noProof/>
                              <w:color w:val="3F868D" w:themeColor="accent1"/>
                              <w:szCs w:val="24"/>
                            </w:rPr>
                            <w:t>5</w:t>
                          </w:r>
                          <w:r w:rsidRPr="006D7D99">
                            <w:rPr>
                              <w:rFonts w:cs="Calibri"/>
                              <w:color w:val="3F868D" w:themeColor="accent1"/>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21BFBC" id="_x0000_t202" coordsize="21600,21600" o:spt="202" path="m,l,21600r21600,l21600,xe">
              <v:stroke joinstyle="miter"/>
              <v:path gradientshapeok="t" o:connecttype="rect"/>
            </v:shapetype>
            <v:shape id="_x0000_s1028" type="#_x0000_t202" style="position:absolute;left:0;text-align:left;margin-left:471.7pt;margin-top:779.65pt;width:52.7pt;height:21.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" filled="f" stroked="f" strokeweight=".5pt">
              <v:textbox style="mso-fit-shape-to-text:t" inset="0,0,0,0">
                <w:txbxContent>
                  <w:p w14:paraId="74542942" w14:textId="77777777" w:rsidR="00B43D7D" w:rsidRPr="006D7D99" w:rsidRDefault="00B43D7D" w:rsidP="00615C8E">
                    <w:pPr>
                      <w:spacing w:after="0"/>
                      <w:jc w:val="right"/>
                      <w:rPr>
                        <w:rFonts w:cs="Calibri"/>
                        <w:color w:val="3F868D" w:themeColor="accent1"/>
                        <w:szCs w:val="24"/>
                      </w:rPr>
                    </w:pPr>
                    <w:r w:rsidRPr="006D7D99">
                      <w:rPr>
                        <w:rFonts w:cs="Calibri"/>
                        <w:color w:val="3F868D" w:themeColor="accent1"/>
                        <w:szCs w:val="24"/>
                      </w:rPr>
                      <w:fldChar w:fldCharType="begin"/>
                    </w:r>
                    <w:r w:rsidRPr="006D7D99">
                      <w:rPr>
                        <w:rFonts w:cs="Calibri"/>
                        <w:color w:val="3F868D" w:themeColor="accent1"/>
                        <w:szCs w:val="24"/>
                      </w:rPr>
                      <w:instrText xml:space="preserve"> page </w:instrText>
                    </w:r>
                    <w:r w:rsidRPr="006D7D99">
                      <w:rPr>
                        <w:rFonts w:cs="Calibri"/>
                        <w:color w:val="3F868D" w:themeColor="accent1"/>
                        <w:szCs w:val="24"/>
                      </w:rPr>
                      <w:fldChar w:fldCharType="separate"/>
                    </w:r>
                    <w:r w:rsidRPr="006D7D99">
                      <w:rPr>
                        <w:rFonts w:cs="Calibri"/>
                        <w:noProof/>
                        <w:color w:val="3F868D" w:themeColor="accent1"/>
                        <w:szCs w:val="24"/>
                      </w:rPr>
                      <w:t>5</w:t>
                    </w:r>
                    <w:r w:rsidRPr="006D7D99">
                      <w:rPr>
                        <w:rFonts w:cs="Calibri"/>
                        <w:color w:val="3F868D" w:themeColor="accent1"/>
                        <w:szCs w:val="24"/>
                      </w:rPr>
                      <w:fldChar w:fldCharType="end"/>
                    </w:r>
                  </w:p>
                </w:txbxContent>
              </v:textbox>
              <w10:wrap anchorx="page" anchory="page"/>
              <w10:anchorlock/>
            </v:shape>
          </w:pict>
        </mc:Fallback>
      </mc:AlternateContent>
    </w:r>
    <w:r w:rsidRPr="0087015B">
      <w:rPr>
        <w:noProof/>
        <w:sz w:val="14"/>
        <w:szCs w:val="14"/>
      </w:rPr>
      <mc:AlternateContent>
        <mc:Choice Requires="wps">
          <w:drawing>
            <wp:anchor distT="0" distB="0" distL="114300" distR="114300" simplePos="0" relativeHeight="251665920" behindDoc="0" locked="0" layoutInCell="1" allowOverlap="1" wp14:anchorId="7A3A0293" wp14:editId="1E81BF82">
              <wp:simplePos x="0" y="0"/>
              <wp:positionH relativeFrom="page">
                <wp:posOffset>900430</wp:posOffset>
              </wp:positionH>
              <wp:positionV relativeFrom="page">
                <wp:posOffset>9946005</wp:posOffset>
              </wp:positionV>
              <wp:extent cx="5760000" cy="0"/>
              <wp:effectExtent l="0" t="0" r="31750" b="19050"/>
              <wp:wrapNone/>
              <wp:docPr id="3" name="Rett linj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9C76FA" id="Rett linje 3" o:spid="_x0000_s1026" alt="&quot;&quot;" style="position:absolute;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83.15pt" to="524.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" strokecolor="black [3213]" strokeweight=".25pt">
              <w10:wrap anchorx="page" anchory="page"/>
            </v:line>
          </w:pict>
        </mc:Fallback>
      </mc:AlternateContent>
    </w:r>
    <w:r w:rsidRPr="00621CCF">
      <w:rPr>
        <w:sz w:val="14"/>
        <w:szCs w:val="14"/>
        <w:lang w:val="nn-NO"/>
      </w:rPr>
      <w:t>Transportøkonomisk Institutt, Gaustadalléen 21, 0349 Oslo</w:t>
    </w:r>
    <w:r w:rsidR="00BA7F3B" w:rsidRPr="00621CCF">
      <w:rPr>
        <w:sz w:val="14"/>
        <w:szCs w:val="14"/>
        <w:lang w:val="nn-NO"/>
      </w:rPr>
      <w:t>,</w:t>
    </w:r>
    <w:r w:rsidRPr="00621CCF">
      <w:rPr>
        <w:sz w:val="14"/>
        <w:szCs w:val="14"/>
        <w:lang w:val="nn-NO"/>
      </w:rPr>
      <w:t xml:space="preserve"> E-post:</w:t>
    </w:r>
    <w:r w:rsidRPr="00621CCF">
      <w:rPr>
        <w:color w:val="336699" w:themeColor="accent6"/>
        <w:sz w:val="14"/>
        <w:szCs w:val="14"/>
        <w:lang w:val="nn-NO"/>
      </w:rPr>
      <w:t xml:space="preserve"> </w:t>
    </w:r>
    <w:hyperlink r:id="rId1" w:history="1">
      <w:r w:rsidRPr="00621CCF">
        <w:rPr>
          <w:rStyle w:val="Hyperkobling"/>
          <w:color w:val="336699" w:themeColor="accent6"/>
          <w:sz w:val="14"/>
          <w:szCs w:val="14"/>
          <w:lang w:val="nn-NO"/>
        </w:rPr>
        <w:t>toi@toi.no</w:t>
      </w:r>
    </w:hyperlink>
    <w:r w:rsidRPr="00621CCF">
      <w:rPr>
        <w:color w:val="336699" w:themeColor="accent6"/>
        <w:sz w:val="14"/>
        <w:szCs w:val="14"/>
        <w:lang w:val="nn-NO"/>
      </w:rPr>
      <w:t xml:space="preserve"> </w:t>
    </w:r>
    <w:hyperlink r:id="rId2" w:history="1">
      <w:r w:rsidRPr="00621CCF">
        <w:rPr>
          <w:rStyle w:val="Hyperkobling"/>
          <w:color w:val="336699" w:themeColor="accent6"/>
          <w:sz w:val="14"/>
          <w:szCs w:val="14"/>
          <w:lang w:val="nn-NO"/>
        </w:rPr>
        <w:t>www.toi.no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3DBBE" w14:textId="77777777" w:rsidR="002C6A17" w:rsidRDefault="002C6A17" w:rsidP="00BE5E84">
      <w:r>
        <w:separator/>
      </w:r>
    </w:p>
  </w:footnote>
  <w:footnote w:type="continuationSeparator" w:id="0">
    <w:p w14:paraId="2CE26CA5" w14:textId="77777777" w:rsidR="002C6A17" w:rsidRDefault="002C6A17" w:rsidP="00BE5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A8E" w14:textId="77777777" w:rsidR="000100E5" w:rsidRPr="001E65E0" w:rsidRDefault="00886013" w:rsidP="00886013">
    <w:pPr>
      <w:pStyle w:val="Topptekst"/>
      <w:rPr>
        <w:szCs w:val="20"/>
      </w:rPr>
    </w:pPr>
    <w:r w:rsidRPr="001E65E0">
      <w:rPr>
        <w:szCs w:val="20"/>
      </w:rPr>
      <w:fldChar w:fldCharType="begin"/>
    </w:r>
    <w:r w:rsidRPr="001E65E0">
      <w:rPr>
        <w:szCs w:val="20"/>
      </w:rPr>
      <w:instrText xml:space="preserve"> REF Tittel \h  \* MERGEFORMAT </w:instrText>
    </w:r>
    <w:r w:rsidRPr="001E65E0">
      <w:rPr>
        <w:szCs w:val="20"/>
      </w:rPr>
    </w:r>
    <w:r w:rsidRPr="001E65E0">
      <w:rPr>
        <w:szCs w:val="20"/>
      </w:rPr>
      <w:fldChar w:fldCharType="separate"/>
    </w:r>
    <w:r w:rsidR="00BE30CB" w:rsidRPr="00BE30CB">
      <w:rPr>
        <w:szCs w:val="20"/>
      </w:rPr>
      <w:t>Infrastruktur</w:t>
    </w:r>
    <w:r w:rsidR="00BE30CB">
      <w:rPr>
        <w:sz w:val="36"/>
        <w:szCs w:val="36"/>
      </w:rPr>
      <w:t xml:space="preserve"> for syklister</w:t>
    </w:r>
    <w:r w:rsidRPr="001E65E0">
      <w:rPr>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875C" w14:textId="77777777" w:rsidR="005311FD" w:rsidRPr="003F14B5" w:rsidRDefault="00555F11" w:rsidP="003F14B5">
    <w:pPr>
      <w:pStyle w:val="Topptekst"/>
    </w:pPr>
    <w:r w:rsidRPr="003F14B5">
      <w:fldChar w:fldCharType="begin"/>
    </w:r>
    <w:r w:rsidRPr="003F14B5">
      <w:instrText xml:space="preserve"> REF Tittel \h  \* MERGEFORMAT </w:instrText>
    </w:r>
    <w:r w:rsidRPr="003F14B5">
      <w:fldChar w:fldCharType="separate"/>
    </w:r>
    <w:r w:rsidR="00BE30CB" w:rsidRPr="00BE30CB">
      <w:t>Infrastruktur</w:t>
    </w:r>
    <w:r w:rsidR="00BE30CB">
      <w:rPr>
        <w:sz w:val="36"/>
        <w:szCs w:val="36"/>
      </w:rPr>
      <w:t xml:space="preserve"> for syklister</w:t>
    </w:r>
    <w:r w:rsidRPr="003F14B5">
      <w:fldChar w:fldCharType="end"/>
    </w:r>
    <w:r w:rsidR="003F14B5" w:rsidRPr="003F14B5">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28CF" w14:textId="77777777" w:rsidR="000100E5" w:rsidRPr="001E65E0" w:rsidRDefault="00886013" w:rsidP="00886013">
    <w:pPr>
      <w:pStyle w:val="Topptekst"/>
      <w:rPr>
        <w:szCs w:val="20"/>
      </w:rPr>
    </w:pPr>
    <w:r w:rsidRPr="001E65E0">
      <w:rPr>
        <w:szCs w:val="20"/>
      </w:rPr>
      <w:fldChar w:fldCharType="begin"/>
    </w:r>
    <w:r w:rsidRPr="001E65E0">
      <w:rPr>
        <w:szCs w:val="20"/>
      </w:rPr>
      <w:instrText xml:space="preserve"> REF Tittel \h  \* MERGEFORMAT </w:instrText>
    </w:r>
    <w:r w:rsidRPr="001E65E0">
      <w:rPr>
        <w:szCs w:val="20"/>
      </w:rPr>
    </w:r>
    <w:r w:rsidRPr="001E65E0">
      <w:rPr>
        <w:szCs w:val="20"/>
      </w:rPr>
      <w:fldChar w:fldCharType="separate"/>
    </w:r>
    <w:r w:rsidR="00BE30CB" w:rsidRPr="00BE30CB">
      <w:rPr>
        <w:szCs w:val="20"/>
      </w:rPr>
      <w:t>Infrastruktur</w:t>
    </w:r>
    <w:r w:rsidR="00BE30CB">
      <w:rPr>
        <w:sz w:val="36"/>
        <w:szCs w:val="36"/>
      </w:rPr>
      <w:t xml:space="preserve"> for syklister</w:t>
    </w:r>
    <w:r w:rsidRPr="001E65E0">
      <w:rPr>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1DAB" w14:textId="02199755" w:rsidR="000100E5" w:rsidRPr="003F14B5" w:rsidRDefault="001C408C" w:rsidP="003F14B5">
    <w:pPr>
      <w:pStyle w:val="Topptekst"/>
    </w:pPr>
    <w:r>
      <w:t>TSH 1.1 Infrastruktur for syklister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A58E2"/>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2D42E6"/>
    <w:multiLevelType w:val="multilevel"/>
    <w:tmpl w:val="BC78F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64D65"/>
    <w:multiLevelType w:val="hybridMultilevel"/>
    <w:tmpl w:val="E6A84EBC"/>
    <w:lvl w:ilvl="0" w:tplc="2376B624">
      <w:start w:val="1"/>
      <w:numFmt w:val="decimal"/>
      <w:pStyle w:val="Vedlegg1"/>
      <w:lvlText w:val="V %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ACA006A"/>
    <w:multiLevelType w:val="hybridMultilevel"/>
    <w:tmpl w:val="357AF7B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D1E3964"/>
    <w:multiLevelType w:val="hybridMultilevel"/>
    <w:tmpl w:val="77546A70"/>
    <w:lvl w:ilvl="0" w:tplc="D93C6970">
      <w:start w:val="1"/>
      <w:numFmt w:val="bullet"/>
      <w:pStyle w:val="Kommentar"/>
      <w:lvlText w:val="Þ"/>
      <w:lvlJc w:val="left"/>
      <w:pPr>
        <w:ind w:left="720" w:hanging="360"/>
      </w:pPr>
      <w:rPr>
        <w:rFonts w:ascii="Symbol" w:hAnsi="Symbol" w:hint="default"/>
        <w:lang w:val="da-DK"/>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DF1209"/>
    <w:multiLevelType w:val="multilevel"/>
    <w:tmpl w:val="6FE06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0369B0"/>
    <w:multiLevelType w:val="hybridMultilevel"/>
    <w:tmpl w:val="71A678F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5140EBB"/>
    <w:multiLevelType w:val="hybridMultilevel"/>
    <w:tmpl w:val="14E04F24"/>
    <w:lvl w:ilvl="0" w:tplc="0414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0734666"/>
    <w:multiLevelType w:val="multilevel"/>
    <w:tmpl w:val="82C8DA6E"/>
    <w:lvl w:ilvl="0">
      <w:start w:val="1"/>
      <w:numFmt w:val="decimal"/>
      <w:pStyle w:val="Overskrift1"/>
      <w:lvlText w:val="%1"/>
      <w:lvlJc w:val="left"/>
      <w:pPr>
        <w:ind w:left="432" w:hanging="432"/>
      </w:pPr>
    </w:lvl>
    <w:lvl w:ilvl="1">
      <w:start w:val="1"/>
      <w:numFmt w:val="decimal"/>
      <w:pStyle w:val="Overskrift2"/>
      <w:lvlText w:val="%1.%2"/>
      <w:lvlJc w:val="left"/>
      <w:pPr>
        <w:ind w:left="1853"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9" w15:restartNumberingAfterBreak="0">
    <w:nsid w:val="71121216"/>
    <w:multiLevelType w:val="hybridMultilevel"/>
    <w:tmpl w:val="2704152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A4D34D1"/>
    <w:multiLevelType w:val="hybridMultilevel"/>
    <w:tmpl w:val="EAA8AE9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6170109">
    <w:abstractNumId w:val="0"/>
  </w:num>
  <w:num w:numId="2" w16cid:durableId="816992609">
    <w:abstractNumId w:val="8"/>
  </w:num>
  <w:num w:numId="3" w16cid:durableId="825628227">
    <w:abstractNumId w:val="2"/>
  </w:num>
  <w:num w:numId="4" w16cid:durableId="35205864">
    <w:abstractNumId w:val="4"/>
  </w:num>
  <w:num w:numId="5" w16cid:durableId="1477726586">
    <w:abstractNumId w:val="7"/>
  </w:num>
  <w:num w:numId="6" w16cid:durableId="1734422753">
    <w:abstractNumId w:val="9"/>
  </w:num>
  <w:num w:numId="7" w16cid:durableId="557085021">
    <w:abstractNumId w:val="1"/>
  </w:num>
  <w:num w:numId="8" w16cid:durableId="115225388">
    <w:abstractNumId w:val="6"/>
  </w:num>
  <w:num w:numId="9" w16cid:durableId="606279068">
    <w:abstractNumId w:val="5"/>
  </w:num>
  <w:num w:numId="10" w16cid:durableId="2105958807">
    <w:abstractNumId w:val="3"/>
  </w:num>
  <w:num w:numId="11" w16cid:durableId="78161069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hideGrammaticalErrors/>
  <w:proofState w:spelling="clean" w:grammar="clean"/>
  <w:documentProtection w:formatting="1" w:enforcement="0"/>
  <w:defaultTabStop w:val="1134"/>
  <w:hyphenationZone w:val="42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0CB"/>
    <w:rsid w:val="0000014D"/>
    <w:rsid w:val="00001F02"/>
    <w:rsid w:val="00002213"/>
    <w:rsid w:val="0000282B"/>
    <w:rsid w:val="00003C2E"/>
    <w:rsid w:val="000058EB"/>
    <w:rsid w:val="00007CDB"/>
    <w:rsid w:val="000100E5"/>
    <w:rsid w:val="00010A0B"/>
    <w:rsid w:val="00010AA0"/>
    <w:rsid w:val="00012D79"/>
    <w:rsid w:val="00013A72"/>
    <w:rsid w:val="000228F8"/>
    <w:rsid w:val="00023723"/>
    <w:rsid w:val="00023B4F"/>
    <w:rsid w:val="000258B1"/>
    <w:rsid w:val="00030C47"/>
    <w:rsid w:val="000314CB"/>
    <w:rsid w:val="00031E69"/>
    <w:rsid w:val="00032768"/>
    <w:rsid w:val="00036958"/>
    <w:rsid w:val="0003776F"/>
    <w:rsid w:val="000377E9"/>
    <w:rsid w:val="0004022E"/>
    <w:rsid w:val="00041DC1"/>
    <w:rsid w:val="00045CAE"/>
    <w:rsid w:val="00046084"/>
    <w:rsid w:val="00051681"/>
    <w:rsid w:val="0005384F"/>
    <w:rsid w:val="00056473"/>
    <w:rsid w:val="000565EB"/>
    <w:rsid w:val="000615B1"/>
    <w:rsid w:val="000616A2"/>
    <w:rsid w:val="00061B68"/>
    <w:rsid w:val="00062242"/>
    <w:rsid w:val="000622DA"/>
    <w:rsid w:val="00064257"/>
    <w:rsid w:val="000652F1"/>
    <w:rsid w:val="000669DF"/>
    <w:rsid w:val="00066D0A"/>
    <w:rsid w:val="00067064"/>
    <w:rsid w:val="00067818"/>
    <w:rsid w:val="00071B61"/>
    <w:rsid w:val="00072856"/>
    <w:rsid w:val="000734B1"/>
    <w:rsid w:val="00074C99"/>
    <w:rsid w:val="00075068"/>
    <w:rsid w:val="00080F95"/>
    <w:rsid w:val="000817DD"/>
    <w:rsid w:val="000844FC"/>
    <w:rsid w:val="000878E4"/>
    <w:rsid w:val="00092128"/>
    <w:rsid w:val="00094AD3"/>
    <w:rsid w:val="00095D75"/>
    <w:rsid w:val="000960BE"/>
    <w:rsid w:val="00096BA8"/>
    <w:rsid w:val="00097809"/>
    <w:rsid w:val="00097ED0"/>
    <w:rsid w:val="000A22E3"/>
    <w:rsid w:val="000A3273"/>
    <w:rsid w:val="000A508E"/>
    <w:rsid w:val="000A7D47"/>
    <w:rsid w:val="000B0C3B"/>
    <w:rsid w:val="000B2EB3"/>
    <w:rsid w:val="000B3561"/>
    <w:rsid w:val="000B40C5"/>
    <w:rsid w:val="000B5B15"/>
    <w:rsid w:val="000C1AF8"/>
    <w:rsid w:val="000C26BB"/>
    <w:rsid w:val="000D29E5"/>
    <w:rsid w:val="000D2A74"/>
    <w:rsid w:val="000D3827"/>
    <w:rsid w:val="000D3A10"/>
    <w:rsid w:val="000D411B"/>
    <w:rsid w:val="000D4569"/>
    <w:rsid w:val="000D53C4"/>
    <w:rsid w:val="000D603D"/>
    <w:rsid w:val="000D657A"/>
    <w:rsid w:val="000D6C6C"/>
    <w:rsid w:val="000D7E00"/>
    <w:rsid w:val="000E27F2"/>
    <w:rsid w:val="000E3F75"/>
    <w:rsid w:val="000E4D5D"/>
    <w:rsid w:val="000E5346"/>
    <w:rsid w:val="000E6290"/>
    <w:rsid w:val="000E7B4A"/>
    <w:rsid w:val="000F0087"/>
    <w:rsid w:val="000F4F55"/>
    <w:rsid w:val="000F63E9"/>
    <w:rsid w:val="000F72EF"/>
    <w:rsid w:val="001030FA"/>
    <w:rsid w:val="001053BE"/>
    <w:rsid w:val="001063A0"/>
    <w:rsid w:val="001079FA"/>
    <w:rsid w:val="00114193"/>
    <w:rsid w:val="00114DFE"/>
    <w:rsid w:val="001159DF"/>
    <w:rsid w:val="00116004"/>
    <w:rsid w:val="00120438"/>
    <w:rsid w:val="0012052B"/>
    <w:rsid w:val="00120D5D"/>
    <w:rsid w:val="00124844"/>
    <w:rsid w:val="001256A9"/>
    <w:rsid w:val="00127002"/>
    <w:rsid w:val="001305EA"/>
    <w:rsid w:val="00132163"/>
    <w:rsid w:val="001323F9"/>
    <w:rsid w:val="0013270B"/>
    <w:rsid w:val="001335A4"/>
    <w:rsid w:val="00136DFE"/>
    <w:rsid w:val="001403DE"/>
    <w:rsid w:val="00141E3F"/>
    <w:rsid w:val="00142BF5"/>
    <w:rsid w:val="001453DF"/>
    <w:rsid w:val="00145D89"/>
    <w:rsid w:val="00150C67"/>
    <w:rsid w:val="001512A5"/>
    <w:rsid w:val="00151A5B"/>
    <w:rsid w:val="00152464"/>
    <w:rsid w:val="00152E35"/>
    <w:rsid w:val="0015394B"/>
    <w:rsid w:val="0015729C"/>
    <w:rsid w:val="0016097D"/>
    <w:rsid w:val="00167E90"/>
    <w:rsid w:val="0017292E"/>
    <w:rsid w:val="00175746"/>
    <w:rsid w:val="001803C4"/>
    <w:rsid w:val="00180BD4"/>
    <w:rsid w:val="00183256"/>
    <w:rsid w:val="00183273"/>
    <w:rsid w:val="001849D4"/>
    <w:rsid w:val="00190273"/>
    <w:rsid w:val="001902A6"/>
    <w:rsid w:val="00190818"/>
    <w:rsid w:val="00190C29"/>
    <w:rsid w:val="00191FE9"/>
    <w:rsid w:val="001954A1"/>
    <w:rsid w:val="001A04B3"/>
    <w:rsid w:val="001A076E"/>
    <w:rsid w:val="001A177F"/>
    <w:rsid w:val="001A1B1C"/>
    <w:rsid w:val="001A4A98"/>
    <w:rsid w:val="001A7B65"/>
    <w:rsid w:val="001B4D64"/>
    <w:rsid w:val="001B5178"/>
    <w:rsid w:val="001B5186"/>
    <w:rsid w:val="001B7436"/>
    <w:rsid w:val="001C1DF3"/>
    <w:rsid w:val="001C1FF4"/>
    <w:rsid w:val="001C396A"/>
    <w:rsid w:val="001C408C"/>
    <w:rsid w:val="001C472D"/>
    <w:rsid w:val="001C7FA8"/>
    <w:rsid w:val="001D2CD4"/>
    <w:rsid w:val="001D744E"/>
    <w:rsid w:val="001E2144"/>
    <w:rsid w:val="001E2356"/>
    <w:rsid w:val="001E4410"/>
    <w:rsid w:val="001E5942"/>
    <w:rsid w:val="001E5E6D"/>
    <w:rsid w:val="001E640F"/>
    <w:rsid w:val="001E65E0"/>
    <w:rsid w:val="001E664A"/>
    <w:rsid w:val="001E67E0"/>
    <w:rsid w:val="001E7CDE"/>
    <w:rsid w:val="001E7D4F"/>
    <w:rsid w:val="001F1A4F"/>
    <w:rsid w:val="001F27C6"/>
    <w:rsid w:val="001F395F"/>
    <w:rsid w:val="002021F8"/>
    <w:rsid w:val="00202C94"/>
    <w:rsid w:val="002055E6"/>
    <w:rsid w:val="002061CD"/>
    <w:rsid w:val="002101E4"/>
    <w:rsid w:val="0021070C"/>
    <w:rsid w:val="0021465F"/>
    <w:rsid w:val="00217607"/>
    <w:rsid w:val="00221379"/>
    <w:rsid w:val="00222402"/>
    <w:rsid w:val="00222BD0"/>
    <w:rsid w:val="0022337E"/>
    <w:rsid w:val="002241DF"/>
    <w:rsid w:val="0022511F"/>
    <w:rsid w:val="00226195"/>
    <w:rsid w:val="002302EC"/>
    <w:rsid w:val="00237611"/>
    <w:rsid w:val="002457C0"/>
    <w:rsid w:val="0024755D"/>
    <w:rsid w:val="00247C1C"/>
    <w:rsid w:val="00252298"/>
    <w:rsid w:val="00252717"/>
    <w:rsid w:val="0025523A"/>
    <w:rsid w:val="002553B7"/>
    <w:rsid w:val="00257AA9"/>
    <w:rsid w:val="0026639F"/>
    <w:rsid w:val="00270E1F"/>
    <w:rsid w:val="00270F24"/>
    <w:rsid w:val="00271C3E"/>
    <w:rsid w:val="00271F02"/>
    <w:rsid w:val="00272573"/>
    <w:rsid w:val="00273FA7"/>
    <w:rsid w:val="00274936"/>
    <w:rsid w:val="00277BA1"/>
    <w:rsid w:val="00280CCB"/>
    <w:rsid w:val="00281ABF"/>
    <w:rsid w:val="0028278A"/>
    <w:rsid w:val="00287A7C"/>
    <w:rsid w:val="00290CFC"/>
    <w:rsid w:val="00294A15"/>
    <w:rsid w:val="00296344"/>
    <w:rsid w:val="002963CF"/>
    <w:rsid w:val="00296B7F"/>
    <w:rsid w:val="00296D8F"/>
    <w:rsid w:val="00297EA2"/>
    <w:rsid w:val="002A12B6"/>
    <w:rsid w:val="002A50B1"/>
    <w:rsid w:val="002A7C41"/>
    <w:rsid w:val="002B18FB"/>
    <w:rsid w:val="002B2740"/>
    <w:rsid w:val="002B2BB4"/>
    <w:rsid w:val="002B30E8"/>
    <w:rsid w:val="002B536D"/>
    <w:rsid w:val="002B569D"/>
    <w:rsid w:val="002B6AB6"/>
    <w:rsid w:val="002C208E"/>
    <w:rsid w:val="002C2A16"/>
    <w:rsid w:val="002C347A"/>
    <w:rsid w:val="002C43FE"/>
    <w:rsid w:val="002C4C55"/>
    <w:rsid w:val="002C66A0"/>
    <w:rsid w:val="002C697E"/>
    <w:rsid w:val="002C6A17"/>
    <w:rsid w:val="002C6F43"/>
    <w:rsid w:val="002C6FCC"/>
    <w:rsid w:val="002D0A69"/>
    <w:rsid w:val="002D375C"/>
    <w:rsid w:val="002D3C4C"/>
    <w:rsid w:val="002D5F68"/>
    <w:rsid w:val="002D696B"/>
    <w:rsid w:val="002D734B"/>
    <w:rsid w:val="002E2F37"/>
    <w:rsid w:val="002E3746"/>
    <w:rsid w:val="002E457D"/>
    <w:rsid w:val="002E7147"/>
    <w:rsid w:val="002E73C1"/>
    <w:rsid w:val="002E78B0"/>
    <w:rsid w:val="002F3907"/>
    <w:rsid w:val="002F3FC9"/>
    <w:rsid w:val="002F567F"/>
    <w:rsid w:val="002F581C"/>
    <w:rsid w:val="002F5C53"/>
    <w:rsid w:val="002F62E9"/>
    <w:rsid w:val="0030055C"/>
    <w:rsid w:val="00301CC4"/>
    <w:rsid w:val="00305CCD"/>
    <w:rsid w:val="003067D6"/>
    <w:rsid w:val="0031030B"/>
    <w:rsid w:val="0031168C"/>
    <w:rsid w:val="00312312"/>
    <w:rsid w:val="0031288C"/>
    <w:rsid w:val="003135E4"/>
    <w:rsid w:val="00314B09"/>
    <w:rsid w:val="00316E4B"/>
    <w:rsid w:val="003173B4"/>
    <w:rsid w:val="003174C0"/>
    <w:rsid w:val="003204BC"/>
    <w:rsid w:val="00326ED1"/>
    <w:rsid w:val="003271FC"/>
    <w:rsid w:val="0032741B"/>
    <w:rsid w:val="00334006"/>
    <w:rsid w:val="003355DA"/>
    <w:rsid w:val="00335675"/>
    <w:rsid w:val="00335AC7"/>
    <w:rsid w:val="00335D3D"/>
    <w:rsid w:val="00337C96"/>
    <w:rsid w:val="0034594B"/>
    <w:rsid w:val="00346ED9"/>
    <w:rsid w:val="00350377"/>
    <w:rsid w:val="003511BF"/>
    <w:rsid w:val="003513B8"/>
    <w:rsid w:val="00352C3E"/>
    <w:rsid w:val="00353035"/>
    <w:rsid w:val="003534A2"/>
    <w:rsid w:val="00354628"/>
    <w:rsid w:val="00355A7B"/>
    <w:rsid w:val="00355F8D"/>
    <w:rsid w:val="00357137"/>
    <w:rsid w:val="00357A82"/>
    <w:rsid w:val="0036063D"/>
    <w:rsid w:val="003654E2"/>
    <w:rsid w:val="003662BE"/>
    <w:rsid w:val="003679D8"/>
    <w:rsid w:val="00371CCB"/>
    <w:rsid w:val="00375892"/>
    <w:rsid w:val="003759A6"/>
    <w:rsid w:val="00380594"/>
    <w:rsid w:val="00384E1E"/>
    <w:rsid w:val="003916FC"/>
    <w:rsid w:val="003939A1"/>
    <w:rsid w:val="003A088B"/>
    <w:rsid w:val="003A12A7"/>
    <w:rsid w:val="003A32C4"/>
    <w:rsid w:val="003A3725"/>
    <w:rsid w:val="003A3D53"/>
    <w:rsid w:val="003A450A"/>
    <w:rsid w:val="003A45BE"/>
    <w:rsid w:val="003A473C"/>
    <w:rsid w:val="003A4B94"/>
    <w:rsid w:val="003A4EE8"/>
    <w:rsid w:val="003B0036"/>
    <w:rsid w:val="003B0B26"/>
    <w:rsid w:val="003B1AF8"/>
    <w:rsid w:val="003B26B6"/>
    <w:rsid w:val="003B5E9A"/>
    <w:rsid w:val="003B7480"/>
    <w:rsid w:val="003C027C"/>
    <w:rsid w:val="003C2BA4"/>
    <w:rsid w:val="003C37D4"/>
    <w:rsid w:val="003C635E"/>
    <w:rsid w:val="003C7143"/>
    <w:rsid w:val="003D0CB7"/>
    <w:rsid w:val="003D1B9D"/>
    <w:rsid w:val="003D22CE"/>
    <w:rsid w:val="003D51B9"/>
    <w:rsid w:val="003D67FC"/>
    <w:rsid w:val="003D6E00"/>
    <w:rsid w:val="003D7EBC"/>
    <w:rsid w:val="003E15DF"/>
    <w:rsid w:val="003E3DA5"/>
    <w:rsid w:val="003E5CCB"/>
    <w:rsid w:val="003E7467"/>
    <w:rsid w:val="003F0EDE"/>
    <w:rsid w:val="003F14B5"/>
    <w:rsid w:val="003F31A0"/>
    <w:rsid w:val="004022F5"/>
    <w:rsid w:val="00406721"/>
    <w:rsid w:val="00406C70"/>
    <w:rsid w:val="00406F2B"/>
    <w:rsid w:val="00410272"/>
    <w:rsid w:val="00410F0C"/>
    <w:rsid w:val="00411EBE"/>
    <w:rsid w:val="0041539C"/>
    <w:rsid w:val="00416BBE"/>
    <w:rsid w:val="004177F1"/>
    <w:rsid w:val="00417E34"/>
    <w:rsid w:val="0042223E"/>
    <w:rsid w:val="00423B0D"/>
    <w:rsid w:val="00423F45"/>
    <w:rsid w:val="0042613B"/>
    <w:rsid w:val="004271AA"/>
    <w:rsid w:val="00430180"/>
    <w:rsid w:val="00431051"/>
    <w:rsid w:val="00431DB5"/>
    <w:rsid w:val="0043225E"/>
    <w:rsid w:val="00433815"/>
    <w:rsid w:val="0043534E"/>
    <w:rsid w:val="00440C79"/>
    <w:rsid w:val="00442A9B"/>
    <w:rsid w:val="00443E17"/>
    <w:rsid w:val="00444685"/>
    <w:rsid w:val="00444B0E"/>
    <w:rsid w:val="00447BBC"/>
    <w:rsid w:val="004540E7"/>
    <w:rsid w:val="00455919"/>
    <w:rsid w:val="00457CB5"/>
    <w:rsid w:val="00457F16"/>
    <w:rsid w:val="00461BE6"/>
    <w:rsid w:val="00462EEC"/>
    <w:rsid w:val="004631E9"/>
    <w:rsid w:val="004635A4"/>
    <w:rsid w:val="00466825"/>
    <w:rsid w:val="004673AA"/>
    <w:rsid w:val="004711C1"/>
    <w:rsid w:val="004719A6"/>
    <w:rsid w:val="004730E4"/>
    <w:rsid w:val="0048094A"/>
    <w:rsid w:val="00484003"/>
    <w:rsid w:val="00485404"/>
    <w:rsid w:val="00485C69"/>
    <w:rsid w:val="0048671F"/>
    <w:rsid w:val="00486B00"/>
    <w:rsid w:val="004876A6"/>
    <w:rsid w:val="00487DFE"/>
    <w:rsid w:val="004909DC"/>
    <w:rsid w:val="0049384E"/>
    <w:rsid w:val="00496C9C"/>
    <w:rsid w:val="00496D48"/>
    <w:rsid w:val="004978A2"/>
    <w:rsid w:val="00497FA7"/>
    <w:rsid w:val="004A11F5"/>
    <w:rsid w:val="004A6867"/>
    <w:rsid w:val="004A6DD4"/>
    <w:rsid w:val="004B1427"/>
    <w:rsid w:val="004B2E20"/>
    <w:rsid w:val="004B3BAD"/>
    <w:rsid w:val="004B7B05"/>
    <w:rsid w:val="004C3FFC"/>
    <w:rsid w:val="004C5318"/>
    <w:rsid w:val="004C5958"/>
    <w:rsid w:val="004D2378"/>
    <w:rsid w:val="004D23CD"/>
    <w:rsid w:val="004D3253"/>
    <w:rsid w:val="004D4E18"/>
    <w:rsid w:val="004D6728"/>
    <w:rsid w:val="004D69EE"/>
    <w:rsid w:val="004D7391"/>
    <w:rsid w:val="004E07C3"/>
    <w:rsid w:val="004E3347"/>
    <w:rsid w:val="004E4D41"/>
    <w:rsid w:val="004E68B1"/>
    <w:rsid w:val="004F04A9"/>
    <w:rsid w:val="004F4251"/>
    <w:rsid w:val="004F484F"/>
    <w:rsid w:val="004F63EB"/>
    <w:rsid w:val="004F6993"/>
    <w:rsid w:val="004F7571"/>
    <w:rsid w:val="005030E1"/>
    <w:rsid w:val="00505529"/>
    <w:rsid w:val="00506212"/>
    <w:rsid w:val="005072B9"/>
    <w:rsid w:val="00507592"/>
    <w:rsid w:val="005077F3"/>
    <w:rsid w:val="00511557"/>
    <w:rsid w:val="00512334"/>
    <w:rsid w:val="00520C16"/>
    <w:rsid w:val="00523D20"/>
    <w:rsid w:val="00524022"/>
    <w:rsid w:val="005311FD"/>
    <w:rsid w:val="00531489"/>
    <w:rsid w:val="005332D8"/>
    <w:rsid w:val="005339E5"/>
    <w:rsid w:val="00534039"/>
    <w:rsid w:val="00534C9D"/>
    <w:rsid w:val="005374D5"/>
    <w:rsid w:val="005403EE"/>
    <w:rsid w:val="005407B1"/>
    <w:rsid w:val="00540808"/>
    <w:rsid w:val="00540DE4"/>
    <w:rsid w:val="00540F7B"/>
    <w:rsid w:val="00543B22"/>
    <w:rsid w:val="005440CA"/>
    <w:rsid w:val="0055128F"/>
    <w:rsid w:val="00551540"/>
    <w:rsid w:val="00553814"/>
    <w:rsid w:val="0055469A"/>
    <w:rsid w:val="00555F11"/>
    <w:rsid w:val="00560216"/>
    <w:rsid w:val="00562650"/>
    <w:rsid w:val="00562670"/>
    <w:rsid w:val="00563BDB"/>
    <w:rsid w:val="00571A40"/>
    <w:rsid w:val="00571BF3"/>
    <w:rsid w:val="00572E36"/>
    <w:rsid w:val="0057531A"/>
    <w:rsid w:val="00580228"/>
    <w:rsid w:val="00580403"/>
    <w:rsid w:val="00581F21"/>
    <w:rsid w:val="00585D51"/>
    <w:rsid w:val="0059031A"/>
    <w:rsid w:val="00590C05"/>
    <w:rsid w:val="0059213B"/>
    <w:rsid w:val="00592A87"/>
    <w:rsid w:val="005932E0"/>
    <w:rsid w:val="00594CCF"/>
    <w:rsid w:val="00595426"/>
    <w:rsid w:val="005957E7"/>
    <w:rsid w:val="00595BA4"/>
    <w:rsid w:val="00596004"/>
    <w:rsid w:val="00596536"/>
    <w:rsid w:val="005A110E"/>
    <w:rsid w:val="005A2FCF"/>
    <w:rsid w:val="005A4F3C"/>
    <w:rsid w:val="005B150F"/>
    <w:rsid w:val="005B1FEA"/>
    <w:rsid w:val="005B21CE"/>
    <w:rsid w:val="005B2819"/>
    <w:rsid w:val="005B2AE0"/>
    <w:rsid w:val="005B2F0D"/>
    <w:rsid w:val="005B30C9"/>
    <w:rsid w:val="005B35A4"/>
    <w:rsid w:val="005B6473"/>
    <w:rsid w:val="005B79B2"/>
    <w:rsid w:val="005B7FA6"/>
    <w:rsid w:val="005C0F03"/>
    <w:rsid w:val="005C186A"/>
    <w:rsid w:val="005C2DDD"/>
    <w:rsid w:val="005C2E41"/>
    <w:rsid w:val="005C3216"/>
    <w:rsid w:val="005C33EF"/>
    <w:rsid w:val="005C4233"/>
    <w:rsid w:val="005C6F78"/>
    <w:rsid w:val="005C7BFE"/>
    <w:rsid w:val="005D0B45"/>
    <w:rsid w:val="005D2CD7"/>
    <w:rsid w:val="005D3E3B"/>
    <w:rsid w:val="005D4417"/>
    <w:rsid w:val="005D4F1B"/>
    <w:rsid w:val="005D6E3E"/>
    <w:rsid w:val="005E0342"/>
    <w:rsid w:val="005E1510"/>
    <w:rsid w:val="005E3CD2"/>
    <w:rsid w:val="005E425B"/>
    <w:rsid w:val="005E4301"/>
    <w:rsid w:val="005E47BF"/>
    <w:rsid w:val="005E6A75"/>
    <w:rsid w:val="005F1ADE"/>
    <w:rsid w:val="005F2C67"/>
    <w:rsid w:val="005F525E"/>
    <w:rsid w:val="005F5BB2"/>
    <w:rsid w:val="005F6CE3"/>
    <w:rsid w:val="005F721C"/>
    <w:rsid w:val="005F72E5"/>
    <w:rsid w:val="006033F8"/>
    <w:rsid w:val="00603E23"/>
    <w:rsid w:val="00604D4A"/>
    <w:rsid w:val="0060583E"/>
    <w:rsid w:val="00611D2D"/>
    <w:rsid w:val="0061224A"/>
    <w:rsid w:val="00612302"/>
    <w:rsid w:val="00613A2A"/>
    <w:rsid w:val="006141D7"/>
    <w:rsid w:val="006151A3"/>
    <w:rsid w:val="00615C8E"/>
    <w:rsid w:val="00620BD7"/>
    <w:rsid w:val="006216CC"/>
    <w:rsid w:val="00621CCF"/>
    <w:rsid w:val="006220A7"/>
    <w:rsid w:val="00624BAB"/>
    <w:rsid w:val="006252CA"/>
    <w:rsid w:val="006279B0"/>
    <w:rsid w:val="00635026"/>
    <w:rsid w:val="00637FDE"/>
    <w:rsid w:val="00643135"/>
    <w:rsid w:val="00643668"/>
    <w:rsid w:val="006436BB"/>
    <w:rsid w:val="00644E9F"/>
    <w:rsid w:val="0064510B"/>
    <w:rsid w:val="00645F4E"/>
    <w:rsid w:val="0064720F"/>
    <w:rsid w:val="0064752B"/>
    <w:rsid w:val="00647B75"/>
    <w:rsid w:val="00647C8A"/>
    <w:rsid w:val="0065055F"/>
    <w:rsid w:val="0065241C"/>
    <w:rsid w:val="0065250E"/>
    <w:rsid w:val="00652FB8"/>
    <w:rsid w:val="006539F0"/>
    <w:rsid w:val="00661538"/>
    <w:rsid w:val="0066173B"/>
    <w:rsid w:val="0066290E"/>
    <w:rsid w:val="00667E7B"/>
    <w:rsid w:val="00671BCC"/>
    <w:rsid w:val="0067273A"/>
    <w:rsid w:val="00672872"/>
    <w:rsid w:val="00673882"/>
    <w:rsid w:val="00674007"/>
    <w:rsid w:val="0067422F"/>
    <w:rsid w:val="006756B4"/>
    <w:rsid w:val="006767BC"/>
    <w:rsid w:val="006772F7"/>
    <w:rsid w:val="00677667"/>
    <w:rsid w:val="00680744"/>
    <w:rsid w:val="006807AA"/>
    <w:rsid w:val="00680F4D"/>
    <w:rsid w:val="00680F69"/>
    <w:rsid w:val="006830F5"/>
    <w:rsid w:val="00685328"/>
    <w:rsid w:val="00685B2E"/>
    <w:rsid w:val="0068620A"/>
    <w:rsid w:val="00692F1A"/>
    <w:rsid w:val="00694197"/>
    <w:rsid w:val="006962EA"/>
    <w:rsid w:val="00696B58"/>
    <w:rsid w:val="006A107D"/>
    <w:rsid w:val="006A1938"/>
    <w:rsid w:val="006A23A4"/>
    <w:rsid w:val="006A44FB"/>
    <w:rsid w:val="006A4684"/>
    <w:rsid w:val="006A55A8"/>
    <w:rsid w:val="006B27A5"/>
    <w:rsid w:val="006B3207"/>
    <w:rsid w:val="006B62EE"/>
    <w:rsid w:val="006B654E"/>
    <w:rsid w:val="006B7664"/>
    <w:rsid w:val="006C2675"/>
    <w:rsid w:val="006D0BAA"/>
    <w:rsid w:val="006D0BEE"/>
    <w:rsid w:val="006D11B8"/>
    <w:rsid w:val="006D26EA"/>
    <w:rsid w:val="006D44DF"/>
    <w:rsid w:val="006D5020"/>
    <w:rsid w:val="006D5964"/>
    <w:rsid w:val="006D5EC9"/>
    <w:rsid w:val="006D6E5C"/>
    <w:rsid w:val="006D7D99"/>
    <w:rsid w:val="006E0A54"/>
    <w:rsid w:val="006E1CEF"/>
    <w:rsid w:val="006E4108"/>
    <w:rsid w:val="006E47D1"/>
    <w:rsid w:val="006E6DCA"/>
    <w:rsid w:val="006F1161"/>
    <w:rsid w:val="006F1225"/>
    <w:rsid w:val="006F1E76"/>
    <w:rsid w:val="006F28C7"/>
    <w:rsid w:val="006F2C39"/>
    <w:rsid w:val="006F3526"/>
    <w:rsid w:val="006F3629"/>
    <w:rsid w:val="006F60BB"/>
    <w:rsid w:val="006F7684"/>
    <w:rsid w:val="007060BF"/>
    <w:rsid w:val="00706466"/>
    <w:rsid w:val="007105E5"/>
    <w:rsid w:val="00711CCC"/>
    <w:rsid w:val="007132DB"/>
    <w:rsid w:val="00713E75"/>
    <w:rsid w:val="00713F54"/>
    <w:rsid w:val="007150F5"/>
    <w:rsid w:val="007152F4"/>
    <w:rsid w:val="007165FB"/>
    <w:rsid w:val="00720EE9"/>
    <w:rsid w:val="00723AC1"/>
    <w:rsid w:val="00723C03"/>
    <w:rsid w:val="00725D1E"/>
    <w:rsid w:val="00725F60"/>
    <w:rsid w:val="007267E5"/>
    <w:rsid w:val="007302EA"/>
    <w:rsid w:val="007319DD"/>
    <w:rsid w:val="00732D27"/>
    <w:rsid w:val="00732F59"/>
    <w:rsid w:val="00734C08"/>
    <w:rsid w:val="00737462"/>
    <w:rsid w:val="00737781"/>
    <w:rsid w:val="00737D4F"/>
    <w:rsid w:val="00745706"/>
    <w:rsid w:val="00745B98"/>
    <w:rsid w:val="00746073"/>
    <w:rsid w:val="007473C6"/>
    <w:rsid w:val="00747B4D"/>
    <w:rsid w:val="00751811"/>
    <w:rsid w:val="007523D3"/>
    <w:rsid w:val="00753EA3"/>
    <w:rsid w:val="0075653D"/>
    <w:rsid w:val="0075663B"/>
    <w:rsid w:val="00757CF8"/>
    <w:rsid w:val="00761330"/>
    <w:rsid w:val="00762395"/>
    <w:rsid w:val="00762F0E"/>
    <w:rsid w:val="00763C24"/>
    <w:rsid w:val="007645A8"/>
    <w:rsid w:val="007661DF"/>
    <w:rsid w:val="00767D11"/>
    <w:rsid w:val="0077054E"/>
    <w:rsid w:val="00770BCD"/>
    <w:rsid w:val="007760A8"/>
    <w:rsid w:val="00776CDD"/>
    <w:rsid w:val="00777866"/>
    <w:rsid w:val="00780582"/>
    <w:rsid w:val="00784B59"/>
    <w:rsid w:val="00785425"/>
    <w:rsid w:val="00785583"/>
    <w:rsid w:val="0078664B"/>
    <w:rsid w:val="00786A0B"/>
    <w:rsid w:val="00790E10"/>
    <w:rsid w:val="007917D0"/>
    <w:rsid w:val="00792D04"/>
    <w:rsid w:val="00796216"/>
    <w:rsid w:val="007A1EE4"/>
    <w:rsid w:val="007A28BA"/>
    <w:rsid w:val="007A2F47"/>
    <w:rsid w:val="007A483A"/>
    <w:rsid w:val="007A6C18"/>
    <w:rsid w:val="007A7F78"/>
    <w:rsid w:val="007B1BD5"/>
    <w:rsid w:val="007B2C88"/>
    <w:rsid w:val="007B5439"/>
    <w:rsid w:val="007B731D"/>
    <w:rsid w:val="007B777D"/>
    <w:rsid w:val="007C1D4B"/>
    <w:rsid w:val="007C380E"/>
    <w:rsid w:val="007C5FB9"/>
    <w:rsid w:val="007C7114"/>
    <w:rsid w:val="007D2185"/>
    <w:rsid w:val="007D477F"/>
    <w:rsid w:val="007D4D39"/>
    <w:rsid w:val="007E063A"/>
    <w:rsid w:val="007E1972"/>
    <w:rsid w:val="007E3CFB"/>
    <w:rsid w:val="007E63B4"/>
    <w:rsid w:val="007E6DA1"/>
    <w:rsid w:val="007E7481"/>
    <w:rsid w:val="007F2126"/>
    <w:rsid w:val="007F274A"/>
    <w:rsid w:val="007F71BC"/>
    <w:rsid w:val="0080120A"/>
    <w:rsid w:val="00801C63"/>
    <w:rsid w:val="00802E97"/>
    <w:rsid w:val="008045C5"/>
    <w:rsid w:val="00805BB2"/>
    <w:rsid w:val="0080718D"/>
    <w:rsid w:val="0080769E"/>
    <w:rsid w:val="00810161"/>
    <w:rsid w:val="00810763"/>
    <w:rsid w:val="008111A1"/>
    <w:rsid w:val="008152BB"/>
    <w:rsid w:val="00820741"/>
    <w:rsid w:val="00823E0C"/>
    <w:rsid w:val="00825A31"/>
    <w:rsid w:val="008270B2"/>
    <w:rsid w:val="00827A26"/>
    <w:rsid w:val="00830977"/>
    <w:rsid w:val="00832A77"/>
    <w:rsid w:val="00832E17"/>
    <w:rsid w:val="00833EFF"/>
    <w:rsid w:val="0083619B"/>
    <w:rsid w:val="0083656E"/>
    <w:rsid w:val="00837A94"/>
    <w:rsid w:val="0084075E"/>
    <w:rsid w:val="008451EC"/>
    <w:rsid w:val="008506D9"/>
    <w:rsid w:val="00851167"/>
    <w:rsid w:val="0085467B"/>
    <w:rsid w:val="0085575E"/>
    <w:rsid w:val="00856616"/>
    <w:rsid w:val="00857740"/>
    <w:rsid w:val="00857DEC"/>
    <w:rsid w:val="0086000A"/>
    <w:rsid w:val="00860641"/>
    <w:rsid w:val="008606A9"/>
    <w:rsid w:val="00863796"/>
    <w:rsid w:val="008640EC"/>
    <w:rsid w:val="00864260"/>
    <w:rsid w:val="00867BFB"/>
    <w:rsid w:val="008716A5"/>
    <w:rsid w:val="0087411B"/>
    <w:rsid w:val="00875335"/>
    <w:rsid w:val="0087581E"/>
    <w:rsid w:val="0087687D"/>
    <w:rsid w:val="00877835"/>
    <w:rsid w:val="008837A1"/>
    <w:rsid w:val="008840F8"/>
    <w:rsid w:val="00886013"/>
    <w:rsid w:val="00886744"/>
    <w:rsid w:val="00890612"/>
    <w:rsid w:val="00893666"/>
    <w:rsid w:val="00893B9A"/>
    <w:rsid w:val="00894FF0"/>
    <w:rsid w:val="00895174"/>
    <w:rsid w:val="008A23D4"/>
    <w:rsid w:val="008A3C0E"/>
    <w:rsid w:val="008A6565"/>
    <w:rsid w:val="008A7366"/>
    <w:rsid w:val="008B04DF"/>
    <w:rsid w:val="008B62DD"/>
    <w:rsid w:val="008C2418"/>
    <w:rsid w:val="008C262B"/>
    <w:rsid w:val="008C3B93"/>
    <w:rsid w:val="008C4DB6"/>
    <w:rsid w:val="008C63EC"/>
    <w:rsid w:val="008D007E"/>
    <w:rsid w:val="008D3253"/>
    <w:rsid w:val="008D333A"/>
    <w:rsid w:val="008E2F30"/>
    <w:rsid w:val="008E35EB"/>
    <w:rsid w:val="008E51C0"/>
    <w:rsid w:val="008F072B"/>
    <w:rsid w:val="008F0D22"/>
    <w:rsid w:val="008F0E83"/>
    <w:rsid w:val="008F437A"/>
    <w:rsid w:val="008F6130"/>
    <w:rsid w:val="008F67F3"/>
    <w:rsid w:val="00901755"/>
    <w:rsid w:val="00901A33"/>
    <w:rsid w:val="00901C40"/>
    <w:rsid w:val="00906177"/>
    <w:rsid w:val="00906530"/>
    <w:rsid w:val="00911206"/>
    <w:rsid w:val="00912D90"/>
    <w:rsid w:val="00913D1A"/>
    <w:rsid w:val="00914563"/>
    <w:rsid w:val="00915687"/>
    <w:rsid w:val="00916C7A"/>
    <w:rsid w:val="00917E35"/>
    <w:rsid w:val="009241C1"/>
    <w:rsid w:val="00924977"/>
    <w:rsid w:val="0092682C"/>
    <w:rsid w:val="009317D7"/>
    <w:rsid w:val="00932763"/>
    <w:rsid w:val="00933F8D"/>
    <w:rsid w:val="009345BE"/>
    <w:rsid w:val="00936BAD"/>
    <w:rsid w:val="00940BF5"/>
    <w:rsid w:val="009435F4"/>
    <w:rsid w:val="00943ECD"/>
    <w:rsid w:val="00945B5E"/>
    <w:rsid w:val="00947747"/>
    <w:rsid w:val="009544B0"/>
    <w:rsid w:val="00954766"/>
    <w:rsid w:val="00955351"/>
    <w:rsid w:val="00955792"/>
    <w:rsid w:val="00956076"/>
    <w:rsid w:val="0095651D"/>
    <w:rsid w:val="00957B9A"/>
    <w:rsid w:val="009626B4"/>
    <w:rsid w:val="00963EC9"/>
    <w:rsid w:val="00970305"/>
    <w:rsid w:val="00971D48"/>
    <w:rsid w:val="0097537A"/>
    <w:rsid w:val="0097616F"/>
    <w:rsid w:val="009762A3"/>
    <w:rsid w:val="009813AE"/>
    <w:rsid w:val="00984EAD"/>
    <w:rsid w:val="00987181"/>
    <w:rsid w:val="0098767C"/>
    <w:rsid w:val="0099152B"/>
    <w:rsid w:val="00995A57"/>
    <w:rsid w:val="009A21A8"/>
    <w:rsid w:val="009A452E"/>
    <w:rsid w:val="009A4EA9"/>
    <w:rsid w:val="009A51DE"/>
    <w:rsid w:val="009A54BF"/>
    <w:rsid w:val="009B038F"/>
    <w:rsid w:val="009B0E13"/>
    <w:rsid w:val="009B142B"/>
    <w:rsid w:val="009B3720"/>
    <w:rsid w:val="009B53FD"/>
    <w:rsid w:val="009B556B"/>
    <w:rsid w:val="009C237A"/>
    <w:rsid w:val="009C4D2B"/>
    <w:rsid w:val="009C66F3"/>
    <w:rsid w:val="009C696B"/>
    <w:rsid w:val="009C6E29"/>
    <w:rsid w:val="009D01BE"/>
    <w:rsid w:val="009D1190"/>
    <w:rsid w:val="009D18E2"/>
    <w:rsid w:val="009D4440"/>
    <w:rsid w:val="009E2166"/>
    <w:rsid w:val="009E3209"/>
    <w:rsid w:val="009E36AD"/>
    <w:rsid w:val="009E7836"/>
    <w:rsid w:val="009E7F4B"/>
    <w:rsid w:val="009F06C2"/>
    <w:rsid w:val="009F1845"/>
    <w:rsid w:val="009F1DC3"/>
    <w:rsid w:val="009F2269"/>
    <w:rsid w:val="009F2D7C"/>
    <w:rsid w:val="009F59A0"/>
    <w:rsid w:val="009F66DA"/>
    <w:rsid w:val="009F7CE0"/>
    <w:rsid w:val="00A02C0D"/>
    <w:rsid w:val="00A03225"/>
    <w:rsid w:val="00A1080D"/>
    <w:rsid w:val="00A11931"/>
    <w:rsid w:val="00A1328D"/>
    <w:rsid w:val="00A143BF"/>
    <w:rsid w:val="00A20A11"/>
    <w:rsid w:val="00A22684"/>
    <w:rsid w:val="00A23BB3"/>
    <w:rsid w:val="00A23EA2"/>
    <w:rsid w:val="00A256DC"/>
    <w:rsid w:val="00A25D0F"/>
    <w:rsid w:val="00A2625A"/>
    <w:rsid w:val="00A2737C"/>
    <w:rsid w:val="00A31675"/>
    <w:rsid w:val="00A3175C"/>
    <w:rsid w:val="00A32B5A"/>
    <w:rsid w:val="00A33295"/>
    <w:rsid w:val="00A3352A"/>
    <w:rsid w:val="00A338C8"/>
    <w:rsid w:val="00A33F42"/>
    <w:rsid w:val="00A3448D"/>
    <w:rsid w:val="00A35CD3"/>
    <w:rsid w:val="00A373F0"/>
    <w:rsid w:val="00A37403"/>
    <w:rsid w:val="00A40B37"/>
    <w:rsid w:val="00A41B0D"/>
    <w:rsid w:val="00A41E8D"/>
    <w:rsid w:val="00A51110"/>
    <w:rsid w:val="00A52BE8"/>
    <w:rsid w:val="00A53863"/>
    <w:rsid w:val="00A56D9F"/>
    <w:rsid w:val="00A572E0"/>
    <w:rsid w:val="00A605A4"/>
    <w:rsid w:val="00A626BC"/>
    <w:rsid w:val="00A63ED0"/>
    <w:rsid w:val="00A64ABF"/>
    <w:rsid w:val="00A64CF9"/>
    <w:rsid w:val="00A64FE5"/>
    <w:rsid w:val="00A67551"/>
    <w:rsid w:val="00A72BCC"/>
    <w:rsid w:val="00A73104"/>
    <w:rsid w:val="00A738E8"/>
    <w:rsid w:val="00A74389"/>
    <w:rsid w:val="00A756A9"/>
    <w:rsid w:val="00A767FA"/>
    <w:rsid w:val="00A811F8"/>
    <w:rsid w:val="00A81DCD"/>
    <w:rsid w:val="00A8377E"/>
    <w:rsid w:val="00A839B7"/>
    <w:rsid w:val="00A83E1F"/>
    <w:rsid w:val="00A853C9"/>
    <w:rsid w:val="00A86BC0"/>
    <w:rsid w:val="00A86C84"/>
    <w:rsid w:val="00A8747F"/>
    <w:rsid w:val="00A87FA0"/>
    <w:rsid w:val="00A910AF"/>
    <w:rsid w:val="00A9148B"/>
    <w:rsid w:val="00A91D62"/>
    <w:rsid w:val="00A9276B"/>
    <w:rsid w:val="00A9327E"/>
    <w:rsid w:val="00A94E33"/>
    <w:rsid w:val="00A94E9A"/>
    <w:rsid w:val="00A9617F"/>
    <w:rsid w:val="00A9719B"/>
    <w:rsid w:val="00AA0B69"/>
    <w:rsid w:val="00AA1EFB"/>
    <w:rsid w:val="00AA4FB1"/>
    <w:rsid w:val="00AB0E24"/>
    <w:rsid w:val="00AB1F62"/>
    <w:rsid w:val="00AB2901"/>
    <w:rsid w:val="00AB3338"/>
    <w:rsid w:val="00AB33E1"/>
    <w:rsid w:val="00AB3C81"/>
    <w:rsid w:val="00AB5260"/>
    <w:rsid w:val="00AB65CE"/>
    <w:rsid w:val="00AB7198"/>
    <w:rsid w:val="00AC4CFC"/>
    <w:rsid w:val="00AC664D"/>
    <w:rsid w:val="00AC6F36"/>
    <w:rsid w:val="00AD3DAE"/>
    <w:rsid w:val="00AD64D7"/>
    <w:rsid w:val="00AD6AAC"/>
    <w:rsid w:val="00AE03A9"/>
    <w:rsid w:val="00AE0D4B"/>
    <w:rsid w:val="00AE2975"/>
    <w:rsid w:val="00AE6582"/>
    <w:rsid w:val="00AE6AB6"/>
    <w:rsid w:val="00AE6B54"/>
    <w:rsid w:val="00AE7635"/>
    <w:rsid w:val="00AE7F23"/>
    <w:rsid w:val="00AF049C"/>
    <w:rsid w:val="00AF3CA6"/>
    <w:rsid w:val="00AF5C13"/>
    <w:rsid w:val="00B0086F"/>
    <w:rsid w:val="00B011AD"/>
    <w:rsid w:val="00B01950"/>
    <w:rsid w:val="00B01E04"/>
    <w:rsid w:val="00B02BE7"/>
    <w:rsid w:val="00B054A9"/>
    <w:rsid w:val="00B05A72"/>
    <w:rsid w:val="00B065C4"/>
    <w:rsid w:val="00B06E03"/>
    <w:rsid w:val="00B1228B"/>
    <w:rsid w:val="00B1270D"/>
    <w:rsid w:val="00B12D2B"/>
    <w:rsid w:val="00B12E0A"/>
    <w:rsid w:val="00B15395"/>
    <w:rsid w:val="00B22AB0"/>
    <w:rsid w:val="00B22E3F"/>
    <w:rsid w:val="00B24442"/>
    <w:rsid w:val="00B27653"/>
    <w:rsid w:val="00B276B3"/>
    <w:rsid w:val="00B30437"/>
    <w:rsid w:val="00B318FC"/>
    <w:rsid w:val="00B32C3A"/>
    <w:rsid w:val="00B35372"/>
    <w:rsid w:val="00B356BE"/>
    <w:rsid w:val="00B35D2C"/>
    <w:rsid w:val="00B37C5C"/>
    <w:rsid w:val="00B4368A"/>
    <w:rsid w:val="00B43D7D"/>
    <w:rsid w:val="00B457D1"/>
    <w:rsid w:val="00B5243A"/>
    <w:rsid w:val="00B529EC"/>
    <w:rsid w:val="00B531C8"/>
    <w:rsid w:val="00B5455C"/>
    <w:rsid w:val="00B54F44"/>
    <w:rsid w:val="00B5726B"/>
    <w:rsid w:val="00B61BB3"/>
    <w:rsid w:val="00B621F2"/>
    <w:rsid w:val="00B63401"/>
    <w:rsid w:val="00B63CAA"/>
    <w:rsid w:val="00B64F47"/>
    <w:rsid w:val="00B653B4"/>
    <w:rsid w:val="00B6577B"/>
    <w:rsid w:val="00B65E90"/>
    <w:rsid w:val="00B660E6"/>
    <w:rsid w:val="00B70E93"/>
    <w:rsid w:val="00B71ED6"/>
    <w:rsid w:val="00B725DE"/>
    <w:rsid w:val="00B7475F"/>
    <w:rsid w:val="00B756B5"/>
    <w:rsid w:val="00B76E3A"/>
    <w:rsid w:val="00B81F79"/>
    <w:rsid w:val="00B82822"/>
    <w:rsid w:val="00B8365F"/>
    <w:rsid w:val="00B853C6"/>
    <w:rsid w:val="00B95264"/>
    <w:rsid w:val="00B95522"/>
    <w:rsid w:val="00BA0264"/>
    <w:rsid w:val="00BA0F22"/>
    <w:rsid w:val="00BA24CD"/>
    <w:rsid w:val="00BA61AD"/>
    <w:rsid w:val="00BA6A25"/>
    <w:rsid w:val="00BA73C1"/>
    <w:rsid w:val="00BA77F4"/>
    <w:rsid w:val="00BA7E3A"/>
    <w:rsid w:val="00BA7F3B"/>
    <w:rsid w:val="00BB007C"/>
    <w:rsid w:val="00BB0F94"/>
    <w:rsid w:val="00BB34FF"/>
    <w:rsid w:val="00BB4073"/>
    <w:rsid w:val="00BB5761"/>
    <w:rsid w:val="00BC05A1"/>
    <w:rsid w:val="00BC2F20"/>
    <w:rsid w:val="00BC33EA"/>
    <w:rsid w:val="00BC36AF"/>
    <w:rsid w:val="00BC3F1E"/>
    <w:rsid w:val="00BC44D7"/>
    <w:rsid w:val="00BC6509"/>
    <w:rsid w:val="00BC6D3D"/>
    <w:rsid w:val="00BC7F0F"/>
    <w:rsid w:val="00BD01FB"/>
    <w:rsid w:val="00BD1AD5"/>
    <w:rsid w:val="00BD212F"/>
    <w:rsid w:val="00BD3B40"/>
    <w:rsid w:val="00BD3D08"/>
    <w:rsid w:val="00BD6F8F"/>
    <w:rsid w:val="00BE09D3"/>
    <w:rsid w:val="00BE1D96"/>
    <w:rsid w:val="00BE30CB"/>
    <w:rsid w:val="00BE5399"/>
    <w:rsid w:val="00BE5E84"/>
    <w:rsid w:val="00BE6AD7"/>
    <w:rsid w:val="00BF227D"/>
    <w:rsid w:val="00BF2779"/>
    <w:rsid w:val="00BF2C07"/>
    <w:rsid w:val="00BF4472"/>
    <w:rsid w:val="00BF50E7"/>
    <w:rsid w:val="00BF573A"/>
    <w:rsid w:val="00BF65C7"/>
    <w:rsid w:val="00BF748F"/>
    <w:rsid w:val="00BF78D2"/>
    <w:rsid w:val="00C03794"/>
    <w:rsid w:val="00C046FF"/>
    <w:rsid w:val="00C055AB"/>
    <w:rsid w:val="00C11AB8"/>
    <w:rsid w:val="00C12292"/>
    <w:rsid w:val="00C12B45"/>
    <w:rsid w:val="00C15A97"/>
    <w:rsid w:val="00C16691"/>
    <w:rsid w:val="00C16B09"/>
    <w:rsid w:val="00C222CA"/>
    <w:rsid w:val="00C22DC3"/>
    <w:rsid w:val="00C23F96"/>
    <w:rsid w:val="00C2500B"/>
    <w:rsid w:val="00C3269F"/>
    <w:rsid w:val="00C33B84"/>
    <w:rsid w:val="00C371D4"/>
    <w:rsid w:val="00C420BD"/>
    <w:rsid w:val="00C42710"/>
    <w:rsid w:val="00C429B8"/>
    <w:rsid w:val="00C42C14"/>
    <w:rsid w:val="00C42FC4"/>
    <w:rsid w:val="00C47156"/>
    <w:rsid w:val="00C55F0F"/>
    <w:rsid w:val="00C562C6"/>
    <w:rsid w:val="00C662F6"/>
    <w:rsid w:val="00C700AB"/>
    <w:rsid w:val="00C71A8D"/>
    <w:rsid w:val="00C73A33"/>
    <w:rsid w:val="00C73CE0"/>
    <w:rsid w:val="00C812D5"/>
    <w:rsid w:val="00C816E3"/>
    <w:rsid w:val="00C81722"/>
    <w:rsid w:val="00C82509"/>
    <w:rsid w:val="00C82C27"/>
    <w:rsid w:val="00C8447A"/>
    <w:rsid w:val="00C85364"/>
    <w:rsid w:val="00C86B87"/>
    <w:rsid w:val="00C8735B"/>
    <w:rsid w:val="00C92966"/>
    <w:rsid w:val="00C93ACF"/>
    <w:rsid w:val="00CA46CA"/>
    <w:rsid w:val="00CA5828"/>
    <w:rsid w:val="00CA77A1"/>
    <w:rsid w:val="00CB0D6C"/>
    <w:rsid w:val="00CB3410"/>
    <w:rsid w:val="00CB3A44"/>
    <w:rsid w:val="00CB6B3D"/>
    <w:rsid w:val="00CC0BAF"/>
    <w:rsid w:val="00CC1EF5"/>
    <w:rsid w:val="00CC2BB2"/>
    <w:rsid w:val="00CC2D6A"/>
    <w:rsid w:val="00CC36D1"/>
    <w:rsid w:val="00CD0405"/>
    <w:rsid w:val="00CD04A1"/>
    <w:rsid w:val="00CD144C"/>
    <w:rsid w:val="00CD2089"/>
    <w:rsid w:val="00CD236D"/>
    <w:rsid w:val="00CD3294"/>
    <w:rsid w:val="00CD4A76"/>
    <w:rsid w:val="00CD5B9C"/>
    <w:rsid w:val="00CD6826"/>
    <w:rsid w:val="00CE06EB"/>
    <w:rsid w:val="00CE149A"/>
    <w:rsid w:val="00CE2CE3"/>
    <w:rsid w:val="00CE3140"/>
    <w:rsid w:val="00CE62D0"/>
    <w:rsid w:val="00CE69DE"/>
    <w:rsid w:val="00CE744E"/>
    <w:rsid w:val="00CE7A96"/>
    <w:rsid w:val="00CF19E2"/>
    <w:rsid w:val="00CF39CE"/>
    <w:rsid w:val="00CF4906"/>
    <w:rsid w:val="00CF5131"/>
    <w:rsid w:val="00CF5A91"/>
    <w:rsid w:val="00D0245A"/>
    <w:rsid w:val="00D051B5"/>
    <w:rsid w:val="00D06881"/>
    <w:rsid w:val="00D07758"/>
    <w:rsid w:val="00D112ED"/>
    <w:rsid w:val="00D1356B"/>
    <w:rsid w:val="00D13BB8"/>
    <w:rsid w:val="00D14B94"/>
    <w:rsid w:val="00D30077"/>
    <w:rsid w:val="00D353A1"/>
    <w:rsid w:val="00D369A0"/>
    <w:rsid w:val="00D37915"/>
    <w:rsid w:val="00D40A7C"/>
    <w:rsid w:val="00D422E8"/>
    <w:rsid w:val="00D42AAB"/>
    <w:rsid w:val="00D43949"/>
    <w:rsid w:val="00D469CC"/>
    <w:rsid w:val="00D47934"/>
    <w:rsid w:val="00D47A0F"/>
    <w:rsid w:val="00D51165"/>
    <w:rsid w:val="00D522FE"/>
    <w:rsid w:val="00D55047"/>
    <w:rsid w:val="00D551C6"/>
    <w:rsid w:val="00D557D9"/>
    <w:rsid w:val="00D563D2"/>
    <w:rsid w:val="00D621E5"/>
    <w:rsid w:val="00D6280C"/>
    <w:rsid w:val="00D64218"/>
    <w:rsid w:val="00D642EA"/>
    <w:rsid w:val="00D648E4"/>
    <w:rsid w:val="00D6541E"/>
    <w:rsid w:val="00D679BB"/>
    <w:rsid w:val="00D707C3"/>
    <w:rsid w:val="00D70AA2"/>
    <w:rsid w:val="00D776B7"/>
    <w:rsid w:val="00D81338"/>
    <w:rsid w:val="00D83145"/>
    <w:rsid w:val="00D83ECC"/>
    <w:rsid w:val="00D84703"/>
    <w:rsid w:val="00D868F3"/>
    <w:rsid w:val="00D86F8A"/>
    <w:rsid w:val="00D90071"/>
    <w:rsid w:val="00D90280"/>
    <w:rsid w:val="00D90E86"/>
    <w:rsid w:val="00D932ED"/>
    <w:rsid w:val="00D9461C"/>
    <w:rsid w:val="00D95DDD"/>
    <w:rsid w:val="00D95F68"/>
    <w:rsid w:val="00D967D4"/>
    <w:rsid w:val="00DA148A"/>
    <w:rsid w:val="00DA1BD1"/>
    <w:rsid w:val="00DA2566"/>
    <w:rsid w:val="00DA30A1"/>
    <w:rsid w:val="00DA3A8E"/>
    <w:rsid w:val="00DA5691"/>
    <w:rsid w:val="00DA6DF9"/>
    <w:rsid w:val="00DA74AB"/>
    <w:rsid w:val="00DB035F"/>
    <w:rsid w:val="00DB10D1"/>
    <w:rsid w:val="00DB3551"/>
    <w:rsid w:val="00DB62D5"/>
    <w:rsid w:val="00DB7BF7"/>
    <w:rsid w:val="00DC1B9C"/>
    <w:rsid w:val="00DC5BEC"/>
    <w:rsid w:val="00DC65BF"/>
    <w:rsid w:val="00DC7D58"/>
    <w:rsid w:val="00DD2997"/>
    <w:rsid w:val="00DD4579"/>
    <w:rsid w:val="00DD4652"/>
    <w:rsid w:val="00DE0572"/>
    <w:rsid w:val="00DE11C8"/>
    <w:rsid w:val="00DE20C0"/>
    <w:rsid w:val="00DE27A8"/>
    <w:rsid w:val="00DE369F"/>
    <w:rsid w:val="00DE5185"/>
    <w:rsid w:val="00DE685A"/>
    <w:rsid w:val="00DE755C"/>
    <w:rsid w:val="00DE7875"/>
    <w:rsid w:val="00DF07D5"/>
    <w:rsid w:val="00DF493A"/>
    <w:rsid w:val="00E02471"/>
    <w:rsid w:val="00E03C02"/>
    <w:rsid w:val="00E03C7C"/>
    <w:rsid w:val="00E03F33"/>
    <w:rsid w:val="00E061DD"/>
    <w:rsid w:val="00E066AB"/>
    <w:rsid w:val="00E06C43"/>
    <w:rsid w:val="00E11A4C"/>
    <w:rsid w:val="00E11BA3"/>
    <w:rsid w:val="00E156F5"/>
    <w:rsid w:val="00E1722A"/>
    <w:rsid w:val="00E2156F"/>
    <w:rsid w:val="00E25F2F"/>
    <w:rsid w:val="00E3184D"/>
    <w:rsid w:val="00E3266B"/>
    <w:rsid w:val="00E33CFD"/>
    <w:rsid w:val="00E3500B"/>
    <w:rsid w:val="00E35BEE"/>
    <w:rsid w:val="00E37C63"/>
    <w:rsid w:val="00E4066F"/>
    <w:rsid w:val="00E42018"/>
    <w:rsid w:val="00E42BC8"/>
    <w:rsid w:val="00E42C22"/>
    <w:rsid w:val="00E439F1"/>
    <w:rsid w:val="00E4435B"/>
    <w:rsid w:val="00E4465A"/>
    <w:rsid w:val="00E44880"/>
    <w:rsid w:val="00E45F80"/>
    <w:rsid w:val="00E474E2"/>
    <w:rsid w:val="00E505F3"/>
    <w:rsid w:val="00E5351B"/>
    <w:rsid w:val="00E5391F"/>
    <w:rsid w:val="00E54B6C"/>
    <w:rsid w:val="00E564C1"/>
    <w:rsid w:val="00E6117A"/>
    <w:rsid w:val="00E613F8"/>
    <w:rsid w:val="00E61823"/>
    <w:rsid w:val="00E624D2"/>
    <w:rsid w:val="00E67124"/>
    <w:rsid w:val="00E70EB9"/>
    <w:rsid w:val="00E72493"/>
    <w:rsid w:val="00E73778"/>
    <w:rsid w:val="00E73DDD"/>
    <w:rsid w:val="00E764C0"/>
    <w:rsid w:val="00E769D5"/>
    <w:rsid w:val="00E76F5F"/>
    <w:rsid w:val="00E77F17"/>
    <w:rsid w:val="00E804BA"/>
    <w:rsid w:val="00E80F94"/>
    <w:rsid w:val="00E824FC"/>
    <w:rsid w:val="00E83483"/>
    <w:rsid w:val="00E8469F"/>
    <w:rsid w:val="00E85239"/>
    <w:rsid w:val="00E90E4B"/>
    <w:rsid w:val="00E932A3"/>
    <w:rsid w:val="00E94043"/>
    <w:rsid w:val="00E9427B"/>
    <w:rsid w:val="00E969FA"/>
    <w:rsid w:val="00E974B5"/>
    <w:rsid w:val="00E974C7"/>
    <w:rsid w:val="00E97A99"/>
    <w:rsid w:val="00EA0332"/>
    <w:rsid w:val="00EA293B"/>
    <w:rsid w:val="00EA2C82"/>
    <w:rsid w:val="00EA76B1"/>
    <w:rsid w:val="00EB0BFA"/>
    <w:rsid w:val="00EB14AC"/>
    <w:rsid w:val="00EB2F50"/>
    <w:rsid w:val="00EB3EA1"/>
    <w:rsid w:val="00EB618B"/>
    <w:rsid w:val="00EB6A3F"/>
    <w:rsid w:val="00EC25D3"/>
    <w:rsid w:val="00EC4921"/>
    <w:rsid w:val="00EC5436"/>
    <w:rsid w:val="00EC6BC4"/>
    <w:rsid w:val="00EC7718"/>
    <w:rsid w:val="00EC790F"/>
    <w:rsid w:val="00EC7B59"/>
    <w:rsid w:val="00ED103D"/>
    <w:rsid w:val="00ED3DB2"/>
    <w:rsid w:val="00ED4CF9"/>
    <w:rsid w:val="00ED5395"/>
    <w:rsid w:val="00ED66EC"/>
    <w:rsid w:val="00EE1241"/>
    <w:rsid w:val="00EE1921"/>
    <w:rsid w:val="00EE25DF"/>
    <w:rsid w:val="00EE5A3A"/>
    <w:rsid w:val="00EE6B72"/>
    <w:rsid w:val="00EF0AE7"/>
    <w:rsid w:val="00EF0DA7"/>
    <w:rsid w:val="00EF1AF3"/>
    <w:rsid w:val="00EF3073"/>
    <w:rsid w:val="00EF3D39"/>
    <w:rsid w:val="00F0070C"/>
    <w:rsid w:val="00F01374"/>
    <w:rsid w:val="00F01A22"/>
    <w:rsid w:val="00F023DB"/>
    <w:rsid w:val="00F027BD"/>
    <w:rsid w:val="00F10DBE"/>
    <w:rsid w:val="00F11000"/>
    <w:rsid w:val="00F110C8"/>
    <w:rsid w:val="00F1124E"/>
    <w:rsid w:val="00F11F28"/>
    <w:rsid w:val="00F12528"/>
    <w:rsid w:val="00F14086"/>
    <w:rsid w:val="00F14769"/>
    <w:rsid w:val="00F20D69"/>
    <w:rsid w:val="00F2147B"/>
    <w:rsid w:val="00F21CAE"/>
    <w:rsid w:val="00F26B9F"/>
    <w:rsid w:val="00F3078F"/>
    <w:rsid w:val="00F31276"/>
    <w:rsid w:val="00F32C22"/>
    <w:rsid w:val="00F33C58"/>
    <w:rsid w:val="00F35C03"/>
    <w:rsid w:val="00F36588"/>
    <w:rsid w:val="00F3742C"/>
    <w:rsid w:val="00F46307"/>
    <w:rsid w:val="00F46715"/>
    <w:rsid w:val="00F46DBF"/>
    <w:rsid w:val="00F47664"/>
    <w:rsid w:val="00F50A97"/>
    <w:rsid w:val="00F50B63"/>
    <w:rsid w:val="00F5234B"/>
    <w:rsid w:val="00F5284E"/>
    <w:rsid w:val="00F54B2F"/>
    <w:rsid w:val="00F5610B"/>
    <w:rsid w:val="00F56E24"/>
    <w:rsid w:val="00F60B9F"/>
    <w:rsid w:val="00F60CCF"/>
    <w:rsid w:val="00F61FE9"/>
    <w:rsid w:val="00F62240"/>
    <w:rsid w:val="00F62C42"/>
    <w:rsid w:val="00F65073"/>
    <w:rsid w:val="00F65901"/>
    <w:rsid w:val="00F659A0"/>
    <w:rsid w:val="00F65BB2"/>
    <w:rsid w:val="00F66F8E"/>
    <w:rsid w:val="00F725FC"/>
    <w:rsid w:val="00F735F1"/>
    <w:rsid w:val="00F80210"/>
    <w:rsid w:val="00F841A2"/>
    <w:rsid w:val="00F974B1"/>
    <w:rsid w:val="00FA0FF0"/>
    <w:rsid w:val="00FA10E4"/>
    <w:rsid w:val="00FA19D3"/>
    <w:rsid w:val="00FA30DE"/>
    <w:rsid w:val="00FA4573"/>
    <w:rsid w:val="00FA5587"/>
    <w:rsid w:val="00FA6409"/>
    <w:rsid w:val="00FB6AB9"/>
    <w:rsid w:val="00FC1278"/>
    <w:rsid w:val="00FC41AC"/>
    <w:rsid w:val="00FC43D9"/>
    <w:rsid w:val="00FC50D6"/>
    <w:rsid w:val="00FC573F"/>
    <w:rsid w:val="00FC5ACB"/>
    <w:rsid w:val="00FC6C38"/>
    <w:rsid w:val="00FC75D6"/>
    <w:rsid w:val="00FC7E6B"/>
    <w:rsid w:val="00FD02B0"/>
    <w:rsid w:val="00FD174C"/>
    <w:rsid w:val="00FD4C75"/>
    <w:rsid w:val="00FD7D96"/>
    <w:rsid w:val="00FE069B"/>
    <w:rsid w:val="00FE0CFB"/>
    <w:rsid w:val="00FE2DE2"/>
    <w:rsid w:val="00FE7119"/>
    <w:rsid w:val="00FE7777"/>
    <w:rsid w:val="00FE7B89"/>
    <w:rsid w:val="00FF1E18"/>
    <w:rsid w:val="00FF45C9"/>
    <w:rsid w:val="00FF4CFA"/>
    <w:rsid w:val="00FF56A8"/>
    <w:rsid w:val="00FF6605"/>
    <w:rsid w:val="00FF77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1D754"/>
  <w15:docId w15:val="{300D93FD-66F7-426B-AA37-8F2C15B4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ADE"/>
    <w:pPr>
      <w:keepLines/>
      <w:spacing w:before="120" w:after="120" w:line="240" w:lineRule="auto"/>
    </w:pPr>
    <w:rPr>
      <w:rFonts w:ascii="Calibri" w:hAnsi="Calibri"/>
    </w:rPr>
  </w:style>
  <w:style w:type="paragraph" w:styleId="Overskrift1">
    <w:name w:val="heading 1"/>
    <w:basedOn w:val="Normal"/>
    <w:next w:val="Normal"/>
    <w:link w:val="Overskrift1Tegn"/>
    <w:qFormat/>
    <w:rsid w:val="008A7366"/>
    <w:pPr>
      <w:keepNext/>
      <w:numPr>
        <w:numId w:val="2"/>
      </w:numPr>
      <w:spacing w:before="360"/>
      <w:outlineLvl w:val="0"/>
    </w:pPr>
    <w:rPr>
      <w:rFonts w:eastAsiaTheme="majorEastAsia" w:cstheme="majorBidi"/>
      <w:b/>
      <w:color w:val="3F868D" w:themeColor="accent1"/>
      <w:sz w:val="48"/>
      <w:szCs w:val="32"/>
    </w:rPr>
  </w:style>
  <w:style w:type="paragraph" w:styleId="Overskrift2">
    <w:name w:val="heading 2"/>
    <w:basedOn w:val="Normal"/>
    <w:next w:val="Normal"/>
    <w:link w:val="Overskrift2Tegn"/>
    <w:unhideWhenUsed/>
    <w:qFormat/>
    <w:rsid w:val="00357A82"/>
    <w:pPr>
      <w:keepNext/>
      <w:numPr>
        <w:ilvl w:val="1"/>
        <w:numId w:val="2"/>
      </w:numPr>
      <w:spacing w:before="360"/>
      <w:ind w:left="576"/>
      <w:outlineLvl w:val="1"/>
    </w:pPr>
    <w:rPr>
      <w:rFonts w:eastAsiaTheme="majorEastAsia" w:cstheme="majorBidi"/>
      <w:b/>
      <w:color w:val="3F868D" w:themeColor="accent1"/>
      <w:sz w:val="36"/>
      <w:szCs w:val="26"/>
    </w:rPr>
  </w:style>
  <w:style w:type="paragraph" w:styleId="Overskrift3">
    <w:name w:val="heading 3"/>
    <w:basedOn w:val="Normal"/>
    <w:next w:val="Normal"/>
    <w:link w:val="Overskrift3Tegn"/>
    <w:uiPriority w:val="9"/>
    <w:unhideWhenUsed/>
    <w:qFormat/>
    <w:rsid w:val="00357A82"/>
    <w:pPr>
      <w:keepNext/>
      <w:numPr>
        <w:ilvl w:val="2"/>
        <w:numId w:val="2"/>
      </w:numPr>
      <w:spacing w:before="240"/>
      <w:outlineLvl w:val="2"/>
    </w:pPr>
    <w:rPr>
      <w:rFonts w:eastAsiaTheme="majorEastAsia" w:cstheme="majorBidi"/>
      <w:b/>
      <w:color w:val="3F868D" w:themeColor="accent1"/>
      <w:sz w:val="28"/>
      <w:szCs w:val="24"/>
    </w:rPr>
  </w:style>
  <w:style w:type="paragraph" w:styleId="Overskrift4">
    <w:name w:val="heading 4"/>
    <w:basedOn w:val="Normal"/>
    <w:next w:val="Normal"/>
    <w:link w:val="Overskrift4Tegn"/>
    <w:uiPriority w:val="9"/>
    <w:unhideWhenUsed/>
    <w:qFormat/>
    <w:rsid w:val="00BD6F8F"/>
    <w:pPr>
      <w:keepNext/>
      <w:numPr>
        <w:ilvl w:val="3"/>
        <w:numId w:val="2"/>
      </w:numPr>
      <w:spacing w:before="240"/>
      <w:outlineLvl w:val="3"/>
    </w:pPr>
    <w:rPr>
      <w:rFonts w:eastAsiaTheme="majorEastAsia" w:cstheme="majorBidi"/>
      <w:iCs/>
      <w:color w:val="3F868D" w:themeColor="accent1"/>
    </w:rPr>
  </w:style>
  <w:style w:type="paragraph" w:styleId="Overskrift5">
    <w:name w:val="heading 5"/>
    <w:basedOn w:val="Normal"/>
    <w:next w:val="Normal"/>
    <w:link w:val="Overskrift5Tegn"/>
    <w:uiPriority w:val="9"/>
    <w:unhideWhenUsed/>
    <w:rsid w:val="00485C69"/>
    <w:pPr>
      <w:keepNext/>
      <w:numPr>
        <w:ilvl w:val="4"/>
        <w:numId w:val="2"/>
      </w:numPr>
      <w:spacing w:before="40" w:after="0"/>
      <w:outlineLvl w:val="4"/>
    </w:pPr>
    <w:rPr>
      <w:rFonts w:asciiTheme="majorHAnsi" w:eastAsiaTheme="majorEastAsia" w:hAnsiTheme="majorHAnsi" w:cstheme="majorBidi"/>
      <w:color w:val="2F6469" w:themeColor="accent1" w:themeShade="BF"/>
      <w:sz w:val="21"/>
    </w:rPr>
  </w:style>
  <w:style w:type="paragraph" w:styleId="Overskrift6">
    <w:name w:val="heading 6"/>
    <w:basedOn w:val="Normal"/>
    <w:next w:val="Normal"/>
    <w:link w:val="Overskrift6Tegn"/>
    <w:uiPriority w:val="9"/>
    <w:unhideWhenUsed/>
    <w:rsid w:val="00485C69"/>
    <w:pPr>
      <w:keepNext/>
      <w:numPr>
        <w:ilvl w:val="5"/>
        <w:numId w:val="2"/>
      </w:numPr>
      <w:spacing w:before="40" w:after="0"/>
      <w:outlineLvl w:val="5"/>
    </w:pPr>
    <w:rPr>
      <w:rFonts w:asciiTheme="majorHAnsi" w:eastAsiaTheme="majorEastAsia" w:hAnsiTheme="majorHAnsi" w:cstheme="majorBidi"/>
      <w:color w:val="1F4246" w:themeColor="accent1" w:themeShade="7F"/>
      <w:sz w:val="21"/>
    </w:rPr>
  </w:style>
  <w:style w:type="paragraph" w:styleId="Overskrift7">
    <w:name w:val="heading 7"/>
    <w:basedOn w:val="Normal"/>
    <w:next w:val="Normal"/>
    <w:link w:val="Overskrift7Tegn"/>
    <w:uiPriority w:val="9"/>
    <w:unhideWhenUsed/>
    <w:rsid w:val="00485C69"/>
    <w:pPr>
      <w:keepNext/>
      <w:numPr>
        <w:ilvl w:val="6"/>
        <w:numId w:val="2"/>
      </w:numPr>
      <w:spacing w:before="40" w:after="0"/>
      <w:outlineLvl w:val="6"/>
    </w:pPr>
    <w:rPr>
      <w:rFonts w:asciiTheme="majorHAnsi" w:eastAsiaTheme="majorEastAsia" w:hAnsiTheme="majorHAnsi" w:cstheme="majorBidi"/>
      <w:i/>
      <w:iCs/>
      <w:color w:val="1F4246" w:themeColor="accent1" w:themeShade="7F"/>
      <w:sz w:val="21"/>
    </w:rPr>
  </w:style>
  <w:style w:type="paragraph" w:styleId="Overskrift8">
    <w:name w:val="heading 8"/>
    <w:basedOn w:val="Normal"/>
    <w:next w:val="Normal"/>
    <w:link w:val="Overskrift8Tegn"/>
    <w:uiPriority w:val="9"/>
    <w:unhideWhenUsed/>
    <w:rsid w:val="00485C69"/>
    <w:pPr>
      <w:keepNext/>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rsid w:val="00485C69"/>
    <w:pPr>
      <w:keepNext/>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H1Sammendrag">
    <w:name w:val="H1 Sammendrag"/>
    <w:basedOn w:val="Overskrift1"/>
    <w:qFormat/>
    <w:rsid w:val="00C2500B"/>
    <w:pPr>
      <w:framePr w:hSpace="142" w:wrap="around" w:vAnchor="text" w:hAnchor="text" w:y="1"/>
      <w:numPr>
        <w:numId w:val="0"/>
      </w:numPr>
      <w:spacing w:before="0" w:after="0"/>
      <w:suppressOverlap/>
      <w:outlineLvl w:val="9"/>
    </w:pPr>
  </w:style>
  <w:style w:type="character" w:styleId="Merknadsreferanse">
    <w:name w:val="annotation reference"/>
    <w:basedOn w:val="Standardskriftforavsnitt"/>
    <w:semiHidden/>
    <w:rsid w:val="00335675"/>
    <w:rPr>
      <w:sz w:val="16"/>
    </w:rPr>
  </w:style>
  <w:style w:type="paragraph" w:styleId="Merknadstekst">
    <w:name w:val="annotation text"/>
    <w:basedOn w:val="Normal"/>
    <w:link w:val="MerknadstekstTegn"/>
    <w:semiHidden/>
    <w:rsid w:val="00335675"/>
    <w:rPr>
      <w:sz w:val="20"/>
    </w:rPr>
  </w:style>
  <w:style w:type="paragraph" w:styleId="Bunntekst">
    <w:name w:val="footer"/>
    <w:basedOn w:val="Normal"/>
    <w:link w:val="BunntekstTegn"/>
    <w:uiPriority w:val="99"/>
    <w:unhideWhenUsed/>
    <w:rsid w:val="005A2FCF"/>
    <w:pPr>
      <w:tabs>
        <w:tab w:val="center" w:pos="4536"/>
        <w:tab w:val="right" w:pos="9072"/>
      </w:tabs>
    </w:pPr>
  </w:style>
  <w:style w:type="character" w:styleId="Fotnotereferanse">
    <w:name w:val="footnote reference"/>
    <w:basedOn w:val="Standardskriftforavsnitt"/>
    <w:semiHidden/>
    <w:rsid w:val="00335675"/>
    <w:rPr>
      <w:position w:val="6"/>
      <w:sz w:val="16"/>
    </w:rPr>
  </w:style>
  <w:style w:type="paragraph" w:styleId="Fotnotetekst">
    <w:name w:val="footnote text"/>
    <w:basedOn w:val="Normal"/>
    <w:semiHidden/>
    <w:rsid w:val="003654E2"/>
    <w:rPr>
      <w:sz w:val="20"/>
    </w:rPr>
  </w:style>
  <w:style w:type="table" w:styleId="Tabellrutenett">
    <w:name w:val="Table Grid"/>
    <w:basedOn w:val="Vanligtabell"/>
    <w:uiPriority w:val="39"/>
    <w:rsid w:val="00BF78D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ammendrag">
    <w:name w:val="H2 Sammendrag"/>
    <w:basedOn w:val="Overskrift2"/>
    <w:qFormat/>
    <w:rsid w:val="00C2500B"/>
    <w:pPr>
      <w:framePr w:hSpace="142" w:wrap="around" w:vAnchor="text" w:hAnchor="text" w:y="1"/>
      <w:numPr>
        <w:ilvl w:val="0"/>
        <w:numId w:val="0"/>
      </w:numPr>
      <w:spacing w:before="0" w:after="0"/>
      <w:suppressOverlap/>
      <w:outlineLvl w:val="9"/>
    </w:pPr>
  </w:style>
  <w:style w:type="paragraph" w:customStyle="1" w:styleId="innrykk1">
    <w:name w:val="innrykk1"/>
    <w:basedOn w:val="Normal"/>
    <w:rsid w:val="00BF78D2"/>
    <w:pPr>
      <w:ind w:left="284" w:hanging="284"/>
    </w:pPr>
  </w:style>
  <w:style w:type="paragraph" w:customStyle="1" w:styleId="innrykk2">
    <w:name w:val="innrykk2"/>
    <w:basedOn w:val="innrykk1"/>
    <w:rsid w:val="00BF78D2"/>
    <w:pPr>
      <w:ind w:left="567"/>
    </w:pPr>
  </w:style>
  <w:style w:type="paragraph" w:styleId="INNH1">
    <w:name w:val="toc 1"/>
    <w:basedOn w:val="Normal"/>
    <w:next w:val="Normal"/>
    <w:autoRedefine/>
    <w:uiPriority w:val="39"/>
    <w:rsid w:val="004D2378"/>
    <w:pPr>
      <w:tabs>
        <w:tab w:val="left" w:pos="482"/>
        <w:tab w:val="right" w:leader="dot" w:pos="9356"/>
      </w:tabs>
      <w:ind w:left="482" w:hanging="482"/>
    </w:pPr>
    <w:rPr>
      <w:b/>
      <w:noProof/>
    </w:rPr>
  </w:style>
  <w:style w:type="paragraph" w:styleId="INNH2">
    <w:name w:val="toc 2"/>
    <w:basedOn w:val="Normal"/>
    <w:next w:val="Normal"/>
    <w:autoRedefine/>
    <w:uiPriority w:val="39"/>
    <w:rsid w:val="002553B7"/>
    <w:pPr>
      <w:tabs>
        <w:tab w:val="left" w:pos="960"/>
        <w:tab w:val="right" w:leader="dot" w:pos="9356"/>
      </w:tabs>
      <w:spacing w:before="60" w:after="60"/>
      <w:ind w:left="992" w:hanging="510"/>
    </w:pPr>
    <w:rPr>
      <w:noProof/>
    </w:rPr>
  </w:style>
  <w:style w:type="paragraph" w:styleId="INNH3">
    <w:name w:val="toc 3"/>
    <w:basedOn w:val="Normal"/>
    <w:next w:val="Normal"/>
    <w:autoRedefine/>
    <w:uiPriority w:val="39"/>
    <w:rsid w:val="002553B7"/>
    <w:pPr>
      <w:tabs>
        <w:tab w:val="right" w:pos="1843"/>
        <w:tab w:val="right" w:leader="dot" w:pos="9356"/>
      </w:tabs>
      <w:spacing w:before="60" w:after="60"/>
      <w:ind w:left="1701" w:hanging="709"/>
    </w:pPr>
    <w:rPr>
      <w:noProof/>
    </w:rPr>
  </w:style>
  <w:style w:type="paragraph" w:customStyle="1" w:styleId="topp-partall">
    <w:name w:val="topp-partall"/>
    <w:basedOn w:val="Normal"/>
    <w:rsid w:val="00E83483"/>
    <w:pPr>
      <w:tabs>
        <w:tab w:val="right" w:pos="7372"/>
        <w:tab w:val="right" w:pos="7939"/>
      </w:tabs>
      <w:ind w:left="-851"/>
    </w:pPr>
    <w:rPr>
      <w:i/>
      <w:sz w:val="20"/>
    </w:rPr>
  </w:style>
  <w:style w:type="character" w:customStyle="1" w:styleId="BunntekstTegn">
    <w:name w:val="Bunntekst Tegn"/>
    <w:basedOn w:val="Standardskriftforavsnitt"/>
    <w:link w:val="Bunntekst"/>
    <w:uiPriority w:val="99"/>
    <w:rsid w:val="005A2FCF"/>
    <w:rPr>
      <w:rFonts w:ascii="Garamond" w:hAnsi="Garamond"/>
      <w:sz w:val="24"/>
    </w:rPr>
  </w:style>
  <w:style w:type="paragraph" w:customStyle="1" w:styleId="topp-oddetall">
    <w:name w:val="topp-oddetall"/>
    <w:basedOn w:val="Normal"/>
    <w:rsid w:val="00E83483"/>
    <w:pPr>
      <w:tabs>
        <w:tab w:val="right" w:pos="8789"/>
      </w:tabs>
      <w:ind w:right="-851"/>
      <w:jc w:val="right"/>
    </w:pPr>
    <w:rPr>
      <w:i/>
      <w:sz w:val="20"/>
    </w:rPr>
  </w:style>
  <w:style w:type="paragraph" w:styleId="INNH4">
    <w:name w:val="toc 4"/>
    <w:basedOn w:val="Normal"/>
    <w:next w:val="Normal"/>
    <w:autoRedefine/>
    <w:semiHidden/>
    <w:rsid w:val="00BF78D2"/>
    <w:pPr>
      <w:ind w:left="720"/>
    </w:pPr>
  </w:style>
  <w:style w:type="paragraph" w:styleId="INNH5">
    <w:name w:val="toc 5"/>
    <w:basedOn w:val="Normal"/>
    <w:next w:val="Normal"/>
    <w:autoRedefine/>
    <w:semiHidden/>
    <w:rsid w:val="00BF78D2"/>
    <w:pPr>
      <w:ind w:left="960"/>
    </w:pPr>
  </w:style>
  <w:style w:type="paragraph" w:styleId="INNH6">
    <w:name w:val="toc 6"/>
    <w:basedOn w:val="Normal"/>
    <w:next w:val="Normal"/>
    <w:autoRedefine/>
    <w:semiHidden/>
    <w:rsid w:val="00BF78D2"/>
    <w:pPr>
      <w:ind w:left="1200"/>
    </w:pPr>
  </w:style>
  <w:style w:type="paragraph" w:styleId="INNH7">
    <w:name w:val="toc 7"/>
    <w:basedOn w:val="Normal"/>
    <w:next w:val="Normal"/>
    <w:autoRedefine/>
    <w:semiHidden/>
    <w:rsid w:val="00BF78D2"/>
    <w:pPr>
      <w:ind w:left="1440"/>
    </w:pPr>
  </w:style>
  <w:style w:type="paragraph" w:styleId="INNH8">
    <w:name w:val="toc 8"/>
    <w:basedOn w:val="Normal"/>
    <w:next w:val="Normal"/>
    <w:autoRedefine/>
    <w:semiHidden/>
    <w:rsid w:val="00BF78D2"/>
    <w:pPr>
      <w:ind w:left="1680"/>
    </w:pPr>
  </w:style>
  <w:style w:type="paragraph" w:styleId="INNH9">
    <w:name w:val="toc 9"/>
    <w:basedOn w:val="Normal"/>
    <w:next w:val="Normal"/>
    <w:autoRedefine/>
    <w:semiHidden/>
    <w:rsid w:val="00BF78D2"/>
    <w:pPr>
      <w:ind w:left="1920"/>
    </w:pPr>
  </w:style>
  <w:style w:type="paragraph" w:customStyle="1" w:styleId="tabelltekst-normal">
    <w:name w:val="tabelltekst-normal"/>
    <w:basedOn w:val="Normal"/>
    <w:next w:val="Normal"/>
    <w:qFormat/>
    <w:rsid w:val="00485C69"/>
    <w:pPr>
      <w:spacing w:before="60" w:after="20"/>
    </w:pPr>
    <w:rPr>
      <w:rFonts w:ascii="Arial" w:eastAsia="Times New Roman" w:hAnsi="Arial" w:cs="Arial"/>
      <w:sz w:val="18"/>
      <w:szCs w:val="18"/>
    </w:rPr>
  </w:style>
  <w:style w:type="paragraph" w:styleId="Bildetekst">
    <w:name w:val="caption"/>
    <w:basedOn w:val="Normal"/>
    <w:next w:val="Normal"/>
    <w:link w:val="BildetekstTegn"/>
    <w:unhideWhenUsed/>
    <w:qFormat/>
    <w:rsid w:val="00F32C22"/>
    <w:pPr>
      <w:tabs>
        <w:tab w:val="left" w:pos="964"/>
      </w:tabs>
      <w:spacing w:before="60" w:after="240"/>
    </w:pPr>
    <w:rPr>
      <w:bCs/>
      <w:i/>
      <w:color w:val="000000" w:themeColor="text1"/>
      <w:sz w:val="20"/>
      <w:szCs w:val="18"/>
    </w:rPr>
  </w:style>
  <w:style w:type="paragraph" w:customStyle="1" w:styleId="bunntekstoddetall">
    <w:name w:val="bunntekstoddetall"/>
    <w:basedOn w:val="Normal"/>
    <w:rsid w:val="005A2FCF"/>
    <w:pPr>
      <w:pBdr>
        <w:top w:val="single" w:sz="6" w:space="1" w:color="auto"/>
        <w:between w:val="single" w:sz="6" w:space="1" w:color="auto"/>
      </w:pBdr>
      <w:tabs>
        <w:tab w:val="right" w:pos="8789"/>
      </w:tabs>
      <w:ind w:right="-851"/>
    </w:pPr>
    <w:rPr>
      <w:rFonts w:asciiTheme="majorHAnsi" w:hAnsiTheme="majorHAnsi" w:cstheme="majorHAnsi"/>
      <w:sz w:val="12"/>
    </w:rPr>
  </w:style>
  <w:style w:type="paragraph" w:customStyle="1" w:styleId="bunntekstpartall">
    <w:name w:val="bunntekstpartall"/>
    <w:basedOn w:val="Normal"/>
    <w:rsid w:val="005A2FCF"/>
    <w:pPr>
      <w:pBdr>
        <w:top w:val="single" w:sz="6" w:space="1" w:color="auto"/>
        <w:between w:val="single" w:sz="6" w:space="1" w:color="auto"/>
      </w:pBdr>
      <w:tabs>
        <w:tab w:val="right" w:pos="7938"/>
      </w:tabs>
      <w:ind w:left="-851" w:right="-1"/>
      <w:jc w:val="right"/>
    </w:pPr>
    <w:rPr>
      <w:rFonts w:asciiTheme="majorHAnsi" w:hAnsiTheme="majorHAnsi" w:cstheme="majorHAnsi"/>
      <w:sz w:val="12"/>
      <w:szCs w:val="12"/>
    </w:rPr>
  </w:style>
  <w:style w:type="paragraph" w:customStyle="1" w:styleId="innhold">
    <w:name w:val="innhold"/>
    <w:basedOn w:val="Normal"/>
    <w:rsid w:val="00F01A22"/>
    <w:pPr>
      <w:tabs>
        <w:tab w:val="right" w:leader="dot" w:pos="7938"/>
      </w:tabs>
      <w:spacing w:after="480"/>
    </w:pPr>
    <w:rPr>
      <w:rFonts w:asciiTheme="majorHAnsi" w:hAnsiTheme="majorHAnsi" w:cstheme="majorHAnsi"/>
      <w:b/>
      <w:sz w:val="44"/>
      <w:szCs w:val="44"/>
    </w:rPr>
  </w:style>
  <w:style w:type="character" w:styleId="Sidetall">
    <w:name w:val="page number"/>
    <w:basedOn w:val="Standardskriftforavsnitt"/>
    <w:rsid w:val="00680F4D"/>
    <w:rPr>
      <w:rFonts w:ascii="Garamond" w:hAnsi="Garamond"/>
      <w:b/>
      <w:sz w:val="24"/>
    </w:rPr>
  </w:style>
  <w:style w:type="character" w:styleId="Plassholdertekst">
    <w:name w:val="Placeholder Text"/>
    <w:basedOn w:val="Standardskriftforavsnitt"/>
    <w:uiPriority w:val="99"/>
    <w:semiHidden/>
    <w:rsid w:val="00485C69"/>
    <w:rPr>
      <w:color w:val="808080"/>
    </w:rPr>
  </w:style>
  <w:style w:type="paragraph" w:styleId="Listeavsnitt">
    <w:name w:val="List Paragraph"/>
    <w:basedOn w:val="Normal"/>
    <w:link w:val="ListeavsnittTegn"/>
    <w:uiPriority w:val="34"/>
    <w:qFormat/>
    <w:rsid w:val="00AB0E24"/>
    <w:pPr>
      <w:ind w:left="720"/>
      <w:contextualSpacing/>
    </w:pPr>
  </w:style>
  <w:style w:type="paragraph" w:customStyle="1" w:styleId="tabell-tekst">
    <w:name w:val="tabell-tekst"/>
    <w:basedOn w:val="Normal"/>
    <w:link w:val="tabell-tekstTegn"/>
    <w:rsid w:val="00E83483"/>
    <w:pPr>
      <w:tabs>
        <w:tab w:val="left" w:pos="1134"/>
      </w:tabs>
      <w:spacing w:after="40"/>
    </w:pPr>
    <w:rPr>
      <w:i/>
    </w:rPr>
  </w:style>
  <w:style w:type="paragraph" w:styleId="Dokumentkart">
    <w:name w:val="Document Map"/>
    <w:basedOn w:val="Normal"/>
    <w:link w:val="DokumentkartTegn"/>
    <w:uiPriority w:val="99"/>
    <w:semiHidden/>
    <w:unhideWhenUsed/>
    <w:rsid w:val="00BF65C7"/>
    <w:rPr>
      <w:rFonts w:ascii="Tahoma" w:hAnsi="Tahoma" w:cs="Tahoma"/>
      <w:sz w:val="16"/>
      <w:szCs w:val="16"/>
    </w:rPr>
  </w:style>
  <w:style w:type="character" w:customStyle="1" w:styleId="tabell-tekstTegn">
    <w:name w:val="tabell-tekst Tegn"/>
    <w:basedOn w:val="Standardskriftforavsnitt"/>
    <w:link w:val="tabell-tekst"/>
    <w:rsid w:val="00E83483"/>
    <w:rPr>
      <w:rFonts w:ascii="Garamond" w:hAnsi="Garamond"/>
      <w:i/>
      <w:sz w:val="22"/>
    </w:rPr>
  </w:style>
  <w:style w:type="character" w:customStyle="1" w:styleId="DokumentkartTegn">
    <w:name w:val="Dokumentkart Tegn"/>
    <w:basedOn w:val="Standardskriftforavsnitt"/>
    <w:link w:val="Dokumentkart"/>
    <w:uiPriority w:val="99"/>
    <w:semiHidden/>
    <w:rsid w:val="00BF65C7"/>
    <w:rPr>
      <w:rFonts w:ascii="Tahoma" w:hAnsi="Tahoma" w:cs="Tahoma"/>
      <w:sz w:val="16"/>
      <w:szCs w:val="16"/>
    </w:rPr>
  </w:style>
  <w:style w:type="table" w:customStyle="1" w:styleId="Lysskyggelegging-uthevingsfarge11">
    <w:name w:val="Lys skyggelegging - uthevingsfarge 11"/>
    <w:basedOn w:val="Vanligtabell"/>
    <w:uiPriority w:val="60"/>
    <w:rsid w:val="00867BFB"/>
    <w:rPr>
      <w:color w:val="2F6469" w:themeColor="accent1" w:themeShade="BF"/>
    </w:rPr>
    <w:tblPr>
      <w:tblStyleRowBandSize w:val="1"/>
      <w:tblStyleColBandSize w:val="1"/>
      <w:tblBorders>
        <w:top w:val="single" w:sz="8" w:space="0" w:color="3F868D" w:themeColor="accent1"/>
        <w:bottom w:val="single" w:sz="8" w:space="0" w:color="3F868D" w:themeColor="accent1"/>
      </w:tblBorders>
    </w:tblPr>
    <w:tblStylePr w:type="firstRow">
      <w:pPr>
        <w:spacing w:before="0" w:after="0" w:line="240" w:lineRule="auto"/>
      </w:pPr>
      <w:rPr>
        <w:b/>
        <w:bCs/>
      </w:rPr>
      <w:tblPr/>
      <w:tcPr>
        <w:tcBorders>
          <w:top w:val="single" w:sz="8" w:space="0" w:color="3F868D" w:themeColor="accent1"/>
          <w:left w:val="nil"/>
          <w:bottom w:val="single" w:sz="8" w:space="0" w:color="3F868D" w:themeColor="accent1"/>
          <w:right w:val="nil"/>
          <w:insideH w:val="nil"/>
          <w:insideV w:val="nil"/>
        </w:tcBorders>
      </w:tcPr>
    </w:tblStylePr>
    <w:tblStylePr w:type="lastRow">
      <w:pPr>
        <w:spacing w:before="0" w:after="0" w:line="240" w:lineRule="auto"/>
      </w:pPr>
      <w:rPr>
        <w:b/>
        <w:bCs/>
      </w:rPr>
      <w:tblPr/>
      <w:tcPr>
        <w:tcBorders>
          <w:top w:val="single" w:sz="8" w:space="0" w:color="3F868D" w:themeColor="accent1"/>
          <w:left w:val="nil"/>
          <w:bottom w:val="single" w:sz="8" w:space="0" w:color="3F868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E7" w:themeFill="accent1" w:themeFillTint="3F"/>
      </w:tcPr>
    </w:tblStylePr>
    <w:tblStylePr w:type="band1Horz">
      <w:tblPr/>
      <w:tcPr>
        <w:tcBorders>
          <w:left w:val="nil"/>
          <w:right w:val="nil"/>
          <w:insideH w:val="nil"/>
          <w:insideV w:val="nil"/>
        </w:tcBorders>
        <w:shd w:val="clear" w:color="auto" w:fill="CAE5E7" w:themeFill="accent1" w:themeFillTint="3F"/>
      </w:tcPr>
    </w:tblStylePr>
  </w:style>
  <w:style w:type="table" w:customStyle="1" w:styleId="Lysliste-uthevingsfarge11">
    <w:name w:val="Lys liste - uthevingsfarge 11"/>
    <w:basedOn w:val="TI-tabell"/>
    <w:uiPriority w:val="61"/>
    <w:rsid w:val="005F2C67"/>
    <w:tblPr>
      <w:tblStyleRowBandSize w:val="1"/>
      <w:tblStyleColBandSize w:val="1"/>
      <w:tblBorders>
        <w:top w:val="single" w:sz="8" w:space="0" w:color="3F868D" w:themeColor="accent1"/>
        <w:left w:val="single" w:sz="8" w:space="0" w:color="3F868D" w:themeColor="accent1"/>
        <w:bottom w:val="single" w:sz="8" w:space="0" w:color="3F868D" w:themeColor="accent1"/>
        <w:right w:val="single" w:sz="8" w:space="0" w:color="3F868D" w:themeColor="accent1"/>
      </w:tblBorders>
    </w:tblPr>
    <w:tblStylePr w:type="firstRow">
      <w:pPr>
        <w:spacing w:before="0" w:after="0" w:line="240" w:lineRule="auto"/>
        <w:jc w:val="center"/>
      </w:pPr>
      <w:rPr>
        <w:rFonts w:ascii="Arial" w:hAnsi="Arial"/>
        <w:b/>
        <w:bCs/>
        <w:color w:val="FFFFFF" w:themeColor="background1"/>
        <w:sz w:val="18"/>
      </w:rPr>
      <w:tblPr/>
      <w:trPr>
        <w:tblHeader/>
      </w:trPr>
      <w:tcPr>
        <w:tcBorders>
          <w:top w:val="single" w:sz="12" w:space="0" w:color="000000" w:themeColor="text1"/>
          <w:bottom w:val="single" w:sz="8" w:space="0" w:color="000000" w:themeColor="text1"/>
        </w:tcBorders>
        <w:shd w:val="clear" w:color="auto" w:fill="3F868D" w:themeFill="accent1"/>
        <w:vAlign w:val="center"/>
      </w:tcPr>
    </w:tblStylePr>
    <w:tblStylePr w:type="lastRow">
      <w:pPr>
        <w:spacing w:before="0" w:after="0" w:line="240" w:lineRule="auto"/>
      </w:pPr>
      <w:rPr>
        <w:b/>
        <w:bCs/>
      </w:rPr>
      <w:tblPr/>
      <w:trPr>
        <w:cantSplit w:val="0"/>
      </w:trPr>
      <w:tcPr>
        <w:tcBorders>
          <w:top w:val="double" w:sz="6" w:space="0" w:color="3F868D" w:themeColor="accent1"/>
          <w:left w:val="single" w:sz="8" w:space="0" w:color="3F868D" w:themeColor="accent1"/>
          <w:bottom w:val="single" w:sz="8" w:space="0" w:color="3F868D" w:themeColor="accent1"/>
          <w:right w:val="single" w:sz="8" w:space="0" w:color="3F868D" w:themeColor="accent1"/>
          <w:insideH w:val="nil"/>
          <w:insideV w:val="nil"/>
          <w:tl2br w:val="nil"/>
          <w:tr2bl w:val="nil"/>
        </w:tcBorders>
        <w:shd w:val="clear" w:color="auto" w:fill="auto"/>
      </w:tcPr>
    </w:tblStylePr>
    <w:tblStylePr w:type="firstCol">
      <w:pPr>
        <w:wordWrap/>
        <w:ind w:leftChars="0" w:left="0" w:rightChars="0" w:right="0"/>
        <w:jc w:val="left"/>
      </w:pPr>
      <w:rPr>
        <w:b w:val="0"/>
        <w:bCs/>
      </w:rPr>
      <w:tblPr>
        <w:tblCellMar>
          <w:top w:w="0" w:type="dxa"/>
          <w:left w:w="108" w:type="dxa"/>
          <w:bottom w:w="0" w:type="dxa"/>
          <w:right w:w="113" w:type="dxa"/>
        </w:tblCellMar>
      </w:tblPr>
      <w:trPr>
        <w:cantSplit w:val="0"/>
      </w:trPr>
      <w:tcPr>
        <w:vAlign w:val="center"/>
      </w:tcPr>
    </w:tblStylePr>
    <w:tblStylePr w:type="lastCol">
      <w:rPr>
        <w:b/>
        <w:bCs/>
      </w:rPr>
    </w:tblStylePr>
    <w:tblStylePr w:type="band1Vert">
      <w:tblPr/>
      <w:tcPr>
        <w:tcBorders>
          <w:top w:val="single" w:sz="8" w:space="0" w:color="3F868D" w:themeColor="accent1"/>
          <w:left w:val="single" w:sz="8" w:space="0" w:color="3F868D" w:themeColor="accent1"/>
          <w:bottom w:val="single" w:sz="8" w:space="0" w:color="3F868D" w:themeColor="accent1"/>
          <w:right w:val="single" w:sz="8" w:space="0" w:color="3F868D" w:themeColor="accent1"/>
        </w:tcBorders>
      </w:tcPr>
    </w:tblStylePr>
    <w:tblStylePr w:type="band1Horz">
      <w:tblPr/>
      <w:tcPr>
        <w:tcBorders>
          <w:top w:val="single" w:sz="8" w:space="0" w:color="3F868D" w:themeColor="accent1"/>
          <w:left w:val="single" w:sz="8" w:space="0" w:color="3F868D" w:themeColor="accent1"/>
          <w:bottom w:val="single" w:sz="8" w:space="0" w:color="3F868D" w:themeColor="accent1"/>
          <w:right w:val="single" w:sz="8" w:space="0" w:color="3F868D" w:themeColor="accent1"/>
        </w:tcBorders>
      </w:tcPr>
    </w:tblStylePr>
  </w:style>
  <w:style w:type="table" w:customStyle="1" w:styleId="Lysskyggelegging1">
    <w:name w:val="Lys skyggelegging1"/>
    <w:basedOn w:val="Vanligtabell"/>
    <w:uiPriority w:val="60"/>
    <w:rsid w:val="00152464"/>
    <w:pPr>
      <w:spacing w:before="60" w:after="20" w:line="220" w:lineRule="exact"/>
    </w:pPr>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cPr>
      <w:vAlign w:val="bottom"/>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kobling">
    <w:name w:val="Hyperlink"/>
    <w:basedOn w:val="Standardskriftforavsnitt"/>
    <w:uiPriority w:val="99"/>
    <w:unhideWhenUsed/>
    <w:rsid w:val="00734C08"/>
    <w:rPr>
      <w:color w:val="336699" w:themeColor="hyperlink"/>
      <w:u w:val="single"/>
    </w:rPr>
  </w:style>
  <w:style w:type="paragraph" w:styleId="Overskriftforinnholdsfortegnelse">
    <w:name w:val="TOC Heading"/>
    <w:basedOn w:val="Overskrift1"/>
    <w:next w:val="Normal"/>
    <w:uiPriority w:val="39"/>
    <w:unhideWhenUsed/>
    <w:rsid w:val="00A256DC"/>
    <w:pPr>
      <w:numPr>
        <w:numId w:val="0"/>
      </w:numPr>
      <w:spacing w:before="240" w:after="0" w:line="259" w:lineRule="auto"/>
      <w:outlineLvl w:val="9"/>
    </w:pPr>
    <w:rPr>
      <w:b w:val="0"/>
      <w:color w:val="2F6469" w:themeColor="accent1" w:themeShade="BF"/>
      <w:sz w:val="32"/>
    </w:rPr>
  </w:style>
  <w:style w:type="paragraph" w:styleId="Topptekst">
    <w:name w:val="header"/>
    <w:basedOn w:val="Normal"/>
    <w:link w:val="TopptekstTegn"/>
    <w:uiPriority w:val="99"/>
    <w:unhideWhenUsed/>
    <w:qFormat/>
    <w:rsid w:val="009F2D7C"/>
    <w:pPr>
      <w:tabs>
        <w:tab w:val="center" w:pos="4536"/>
        <w:tab w:val="right" w:pos="9072"/>
      </w:tabs>
      <w:jc w:val="right"/>
    </w:pPr>
    <w:rPr>
      <w:sz w:val="20"/>
    </w:rPr>
  </w:style>
  <w:style w:type="character" w:customStyle="1" w:styleId="TopptekstTegn">
    <w:name w:val="Topptekst Tegn"/>
    <w:basedOn w:val="Standardskriftforavsnitt"/>
    <w:link w:val="Topptekst"/>
    <w:uiPriority w:val="99"/>
    <w:rsid w:val="009F2D7C"/>
    <w:rPr>
      <w:rFonts w:ascii="Calibri" w:hAnsi="Calibri"/>
      <w:sz w:val="20"/>
    </w:rPr>
  </w:style>
  <w:style w:type="paragraph" w:styleId="Brdtekst">
    <w:name w:val="Body Text"/>
    <w:basedOn w:val="Normal"/>
    <w:link w:val="BrdtekstTegn"/>
    <w:uiPriority w:val="99"/>
    <w:unhideWhenUsed/>
    <w:rsid w:val="002963CF"/>
  </w:style>
  <w:style w:type="character" w:customStyle="1" w:styleId="BrdtekstTegn">
    <w:name w:val="Brødtekst Tegn"/>
    <w:basedOn w:val="Standardskriftforavsnitt"/>
    <w:link w:val="Brdtekst"/>
    <w:uiPriority w:val="99"/>
    <w:rsid w:val="002963CF"/>
    <w:rPr>
      <w:rFonts w:ascii="Garamond" w:hAnsi="Garamond"/>
      <w:sz w:val="24"/>
    </w:rPr>
  </w:style>
  <w:style w:type="paragraph" w:customStyle="1" w:styleId="Overskriftutennummer">
    <w:name w:val="Overskrift uten nummer"/>
    <w:basedOn w:val="Overskrift1"/>
    <w:next w:val="Normal"/>
    <w:link w:val="OverskriftutennummerTegn"/>
    <w:rsid w:val="00190818"/>
    <w:pPr>
      <w:numPr>
        <w:numId w:val="0"/>
      </w:numPr>
    </w:pPr>
  </w:style>
  <w:style w:type="paragraph" w:customStyle="1" w:styleId="anormal">
    <w:name w:val="anormal"/>
    <w:basedOn w:val="Normal"/>
    <w:next w:val="Normal"/>
    <w:rsid w:val="00190C29"/>
  </w:style>
  <w:style w:type="character" w:customStyle="1" w:styleId="Overskrift1Tegn">
    <w:name w:val="Overskrift 1 Tegn"/>
    <w:basedOn w:val="Standardskriftforavsnitt"/>
    <w:link w:val="Overskrift1"/>
    <w:rsid w:val="008A7366"/>
    <w:rPr>
      <w:rFonts w:ascii="Calibri" w:eastAsiaTheme="majorEastAsia" w:hAnsi="Calibri" w:cstheme="majorBidi"/>
      <w:b/>
      <w:color w:val="3F868D" w:themeColor="accent1"/>
      <w:sz w:val="48"/>
      <w:szCs w:val="32"/>
    </w:rPr>
  </w:style>
  <w:style w:type="character" w:customStyle="1" w:styleId="OverskriftutennummerTegn">
    <w:name w:val="Overskrift uten nummer Tegn"/>
    <w:basedOn w:val="Overskrift1Tegn"/>
    <w:link w:val="Overskriftutennummer"/>
    <w:rsid w:val="00190818"/>
    <w:rPr>
      <w:rFonts w:asciiTheme="majorHAnsi" w:eastAsiaTheme="minorHAnsi" w:hAnsiTheme="majorHAnsi" w:cstheme="minorBidi"/>
      <w:b/>
      <w:color w:val="3F868D" w:themeColor="accent1"/>
      <w:sz w:val="44"/>
      <w:szCs w:val="44"/>
      <w:lang w:eastAsia="en-US"/>
    </w:rPr>
  </w:style>
  <w:style w:type="paragraph" w:styleId="Underskrift">
    <w:name w:val="Signature"/>
    <w:basedOn w:val="Normal"/>
    <w:link w:val="UnderskriftTegn"/>
    <w:rsid w:val="00190C29"/>
    <w:rPr>
      <w:i/>
      <w:iCs/>
    </w:rPr>
  </w:style>
  <w:style w:type="character" w:customStyle="1" w:styleId="UnderskriftTegn">
    <w:name w:val="Underskrift Tegn"/>
    <w:basedOn w:val="Standardskriftforavsnitt"/>
    <w:link w:val="Underskrift"/>
    <w:rsid w:val="00190C29"/>
    <w:rPr>
      <w:rFonts w:ascii="Garamond" w:hAnsi="Garamond"/>
      <w:i/>
      <w:iCs/>
      <w:sz w:val="22"/>
      <w:szCs w:val="22"/>
    </w:rPr>
  </w:style>
  <w:style w:type="paragraph" w:styleId="Dato">
    <w:name w:val="Date"/>
    <w:basedOn w:val="Normal"/>
    <w:next w:val="Normal"/>
    <w:link w:val="DatoTegn"/>
    <w:rsid w:val="00190C29"/>
    <w:pPr>
      <w:tabs>
        <w:tab w:val="right" w:pos="9356"/>
      </w:tabs>
      <w:ind w:right="281"/>
    </w:pPr>
    <w:rPr>
      <w:rFonts w:ascii="Arial" w:hAnsi="Arial" w:cs="Arial"/>
      <w:sz w:val="20"/>
      <w:lang w:val="de-DE"/>
    </w:rPr>
  </w:style>
  <w:style w:type="character" w:customStyle="1" w:styleId="DatoTegn">
    <w:name w:val="Dato Tegn"/>
    <w:basedOn w:val="Standardskriftforavsnitt"/>
    <w:link w:val="Dato"/>
    <w:rsid w:val="00190C29"/>
    <w:rPr>
      <w:rFonts w:ascii="Arial" w:hAnsi="Arial" w:cs="Arial"/>
      <w:lang w:val="de-DE"/>
    </w:rPr>
  </w:style>
  <w:style w:type="paragraph" w:customStyle="1" w:styleId="Sammendrag">
    <w:name w:val="Sammendrag"/>
    <w:basedOn w:val="Normal"/>
    <w:link w:val="SammendragTegn"/>
    <w:rsid w:val="005F5BB2"/>
    <w:pPr>
      <w:keepNext/>
      <w:tabs>
        <w:tab w:val="left" w:pos="851"/>
      </w:tabs>
      <w:outlineLvl w:val="2"/>
    </w:pPr>
    <w:rPr>
      <w:rFonts w:ascii="Arial" w:hAnsi="Arial" w:cs="Arial"/>
      <w:b/>
    </w:rPr>
  </w:style>
  <w:style w:type="paragraph" w:customStyle="1" w:styleId="SamTittel">
    <w:name w:val="Sam Tittel"/>
    <w:basedOn w:val="Normal"/>
    <w:link w:val="SamTittelTegn"/>
    <w:rsid w:val="001A177F"/>
    <w:pPr>
      <w:keepNext/>
      <w:spacing w:after="440" w:line="240" w:lineRule="atLeast"/>
      <w:outlineLvl w:val="0"/>
    </w:pPr>
    <w:rPr>
      <w:rFonts w:ascii="Arial" w:hAnsi="Arial" w:cs="Arial"/>
      <w:b/>
      <w:sz w:val="44"/>
    </w:rPr>
  </w:style>
  <w:style w:type="character" w:customStyle="1" w:styleId="SammendragTegn">
    <w:name w:val="Sammendrag Tegn"/>
    <w:basedOn w:val="Standardskriftforavsnitt"/>
    <w:link w:val="Sammendrag"/>
    <w:rsid w:val="005F5BB2"/>
    <w:rPr>
      <w:rFonts w:ascii="Arial" w:hAnsi="Arial" w:cs="Arial"/>
      <w:b/>
      <w:sz w:val="24"/>
    </w:rPr>
  </w:style>
  <w:style w:type="character" w:customStyle="1" w:styleId="SamTittelTegn">
    <w:name w:val="Sam Tittel Tegn"/>
    <w:basedOn w:val="Standardskriftforavsnitt"/>
    <w:link w:val="SamTittel"/>
    <w:rsid w:val="001A177F"/>
    <w:rPr>
      <w:rFonts w:ascii="Arial" w:hAnsi="Arial" w:cs="Arial"/>
      <w:b/>
      <w:sz w:val="44"/>
    </w:rPr>
  </w:style>
  <w:style w:type="character" w:styleId="Fulgthyperkobling">
    <w:name w:val="FollowedHyperlink"/>
    <w:basedOn w:val="Standardskriftforavsnitt"/>
    <w:uiPriority w:val="99"/>
    <w:semiHidden/>
    <w:unhideWhenUsed/>
    <w:rsid w:val="005F5BB2"/>
    <w:rPr>
      <w:color w:val="777777" w:themeColor="followedHyperlink"/>
      <w:u w:val="single"/>
    </w:rPr>
  </w:style>
  <w:style w:type="paragraph" w:styleId="Kommentaremne">
    <w:name w:val="annotation subject"/>
    <w:basedOn w:val="Merknadstekst"/>
    <w:next w:val="Merknadstekst"/>
    <w:link w:val="KommentaremneTegn"/>
    <w:uiPriority w:val="99"/>
    <w:semiHidden/>
    <w:unhideWhenUsed/>
    <w:rsid w:val="003C37D4"/>
    <w:rPr>
      <w:b/>
      <w:bCs/>
    </w:rPr>
  </w:style>
  <w:style w:type="character" w:customStyle="1" w:styleId="MerknadstekstTegn">
    <w:name w:val="Merknadstekst Tegn"/>
    <w:basedOn w:val="Standardskriftforavsnitt"/>
    <w:link w:val="Merknadstekst"/>
    <w:semiHidden/>
    <w:rsid w:val="003C37D4"/>
    <w:rPr>
      <w:rFonts w:ascii="Garamond" w:hAnsi="Garamond"/>
    </w:rPr>
  </w:style>
  <w:style w:type="character" w:customStyle="1" w:styleId="KommentaremneTegn">
    <w:name w:val="Kommentaremne Tegn"/>
    <w:basedOn w:val="MerknadstekstTegn"/>
    <w:link w:val="Kommentaremne"/>
    <w:uiPriority w:val="99"/>
    <w:semiHidden/>
    <w:rsid w:val="003C37D4"/>
    <w:rPr>
      <w:rFonts w:ascii="Garamond" w:hAnsi="Garamond"/>
      <w:b/>
      <w:bCs/>
    </w:rPr>
  </w:style>
  <w:style w:type="paragraph" w:customStyle="1" w:styleId="Tabellnummer">
    <w:name w:val="Tabellnummer"/>
    <w:basedOn w:val="Normal"/>
    <w:next w:val="Normal"/>
    <w:link w:val="TabellnummerTegn"/>
    <w:qFormat/>
    <w:rsid w:val="00F32C22"/>
    <w:pPr>
      <w:keepNext/>
      <w:tabs>
        <w:tab w:val="left" w:pos="1134"/>
      </w:tabs>
      <w:spacing w:before="240"/>
    </w:pPr>
    <w:rPr>
      <w:i/>
      <w:sz w:val="20"/>
    </w:rPr>
  </w:style>
  <w:style w:type="paragraph" w:customStyle="1" w:styleId="Figurtekst">
    <w:name w:val="Figurtekst"/>
    <w:basedOn w:val="Bildetekst"/>
    <w:link w:val="FigurtekstTegn"/>
    <w:rsid w:val="006D11B8"/>
    <w:pPr>
      <w:tabs>
        <w:tab w:val="left" w:pos="1134"/>
      </w:tabs>
      <w:ind w:left="1134" w:hanging="1134"/>
    </w:pPr>
  </w:style>
  <w:style w:type="character" w:customStyle="1" w:styleId="BildetekstTegn">
    <w:name w:val="Bildetekst Tegn"/>
    <w:basedOn w:val="Standardskriftforavsnitt"/>
    <w:link w:val="Bildetekst"/>
    <w:rsid w:val="00F32C22"/>
    <w:rPr>
      <w:rFonts w:ascii="Calibri" w:hAnsi="Calibri"/>
      <w:bCs/>
      <w:i/>
      <w:color w:val="000000" w:themeColor="text1"/>
      <w:sz w:val="20"/>
      <w:szCs w:val="18"/>
    </w:rPr>
  </w:style>
  <w:style w:type="character" w:customStyle="1" w:styleId="TabellnummerTegn">
    <w:name w:val="Tabellnummer Tegn"/>
    <w:basedOn w:val="BildetekstTegn"/>
    <w:link w:val="Tabellnummer"/>
    <w:rsid w:val="00F32C22"/>
    <w:rPr>
      <w:rFonts w:ascii="Calibri" w:hAnsi="Calibri"/>
      <w:bCs w:val="0"/>
      <w:i/>
      <w:color w:val="000000" w:themeColor="text1"/>
      <w:sz w:val="20"/>
      <w:szCs w:val="18"/>
    </w:rPr>
  </w:style>
  <w:style w:type="character" w:customStyle="1" w:styleId="FigurtekstTegn">
    <w:name w:val="Figurtekst Tegn"/>
    <w:basedOn w:val="BildetekstTegn"/>
    <w:link w:val="Figurtekst"/>
    <w:rsid w:val="006D11B8"/>
    <w:rPr>
      <w:rFonts w:ascii="Garamond" w:eastAsiaTheme="minorHAnsi" w:hAnsi="Garamond" w:cstheme="minorBidi"/>
      <w:bCs/>
      <w:i/>
      <w:color w:val="000000" w:themeColor="text1"/>
      <w:sz w:val="22"/>
      <w:szCs w:val="18"/>
      <w:lang w:eastAsia="en-US"/>
    </w:rPr>
  </w:style>
  <w:style w:type="paragraph" w:customStyle="1" w:styleId="Englishtext">
    <w:name w:val="English text"/>
    <w:basedOn w:val="Normal"/>
    <w:link w:val="EnglishtextTegn"/>
    <w:qFormat/>
    <w:rsid w:val="00335AC7"/>
    <w:rPr>
      <w:lang w:val="en-GB"/>
    </w:rPr>
  </w:style>
  <w:style w:type="character" w:customStyle="1" w:styleId="EnglishtextTegn">
    <w:name w:val="English text Tegn"/>
    <w:basedOn w:val="Standardskriftforavsnitt"/>
    <w:link w:val="Englishtext"/>
    <w:rsid w:val="00335AC7"/>
    <w:rPr>
      <w:rFonts w:ascii="Garamond" w:hAnsi="Garamond"/>
      <w:sz w:val="24"/>
      <w:lang w:val="en-GB"/>
    </w:rPr>
  </w:style>
  <w:style w:type="table" w:customStyle="1" w:styleId="TI-tabell">
    <w:name w:val="TØI-tabell"/>
    <w:basedOn w:val="Vanligtabell"/>
    <w:uiPriority w:val="99"/>
    <w:rsid w:val="005F2C67"/>
    <w:pPr>
      <w:spacing w:before="60" w:after="20" w:line="180" w:lineRule="exact"/>
      <w:jc w:val="right"/>
    </w:pPr>
    <w:rPr>
      <w:rFonts w:ascii="Calibri" w:hAnsi="Calibri"/>
      <w:sz w:val="18"/>
    </w:rPr>
    <w:tblPr>
      <w:tblBorders>
        <w:top w:val="single" w:sz="12" w:space="0" w:color="000000" w:themeColor="text1"/>
        <w:bottom w:val="single" w:sz="12" w:space="0" w:color="000000" w:themeColor="text1"/>
      </w:tblBorders>
    </w:tblPr>
    <w:trPr>
      <w:cantSplit/>
    </w:trPr>
    <w:tblStylePr w:type="firstRow">
      <w:pPr>
        <w:jc w:val="center"/>
      </w:pPr>
      <w:rPr>
        <w:rFonts w:ascii="Arial" w:hAnsi="Arial"/>
        <w:b/>
        <w:sz w:val="18"/>
      </w:rPr>
      <w:tblPr/>
      <w:trPr>
        <w:tblHeader/>
      </w:trPr>
      <w:tcPr>
        <w:tcBorders>
          <w:top w:val="single" w:sz="12" w:space="0" w:color="000000" w:themeColor="text1"/>
          <w:bottom w:val="single" w:sz="8" w:space="0" w:color="000000" w:themeColor="text1"/>
        </w:tcBorders>
        <w:shd w:val="pct20" w:color="auto" w:fill="auto"/>
        <w:vAlign w:val="center"/>
      </w:tcPr>
    </w:tblStylePr>
    <w:tblStylePr w:type="lastRow">
      <w:tblPr/>
      <w:trPr>
        <w:cantSplit w:val="0"/>
      </w:trPr>
      <w:tcPr>
        <w:tcBorders>
          <w:top w:val="nil"/>
          <w:left w:val="nil"/>
          <w:bottom w:val="single" w:sz="12" w:space="0" w:color="auto"/>
          <w:right w:val="nil"/>
          <w:insideH w:val="nil"/>
          <w:insideV w:val="nil"/>
          <w:tl2br w:val="nil"/>
          <w:tr2bl w:val="nil"/>
        </w:tcBorders>
        <w:shd w:val="clear" w:color="auto" w:fill="auto"/>
      </w:tcPr>
    </w:tblStylePr>
    <w:tblStylePr w:type="firstCol">
      <w:pPr>
        <w:wordWrap/>
        <w:ind w:leftChars="0" w:left="0" w:rightChars="0" w:right="0"/>
        <w:jc w:val="left"/>
      </w:pPr>
      <w:rPr>
        <w:b w:val="0"/>
      </w:rPr>
      <w:tblPr>
        <w:tblCellMar>
          <w:top w:w="0" w:type="dxa"/>
          <w:left w:w="108" w:type="dxa"/>
          <w:bottom w:w="0" w:type="dxa"/>
          <w:right w:w="113" w:type="dxa"/>
        </w:tblCellMar>
      </w:tblPr>
      <w:trPr>
        <w:cantSplit w:val="0"/>
      </w:trPr>
      <w:tcPr>
        <w:vAlign w:val="center"/>
      </w:tcPr>
    </w:tblStylePr>
  </w:style>
  <w:style w:type="table" w:customStyle="1" w:styleId="TI-tabellhorisontal">
    <w:name w:val="TØI-tabell horisontal"/>
    <w:basedOn w:val="Vanligtabell"/>
    <w:uiPriority w:val="99"/>
    <w:rsid w:val="005F2C67"/>
    <w:pPr>
      <w:spacing w:before="60" w:after="20" w:line="180" w:lineRule="exact"/>
      <w:jc w:val="right"/>
    </w:pPr>
    <w:rPr>
      <w:rFonts w:ascii="Calibri" w:hAnsi="Calibri"/>
      <w:sz w:val="18"/>
    </w:rPr>
    <w:tblPr>
      <w:tblStyleRowBandSize w:val="1"/>
      <w:tblBorders>
        <w:top w:val="single" w:sz="12" w:space="0" w:color="000000" w:themeColor="text1"/>
        <w:bottom w:val="single" w:sz="12" w:space="0" w:color="000000" w:themeColor="text1"/>
      </w:tblBorders>
    </w:tblPr>
    <w:trPr>
      <w:cantSplit/>
    </w:trPr>
    <w:tblStylePr w:type="firstRow">
      <w:pPr>
        <w:spacing w:before="0" w:after="0" w:line="240" w:lineRule="auto"/>
        <w:jc w:val="center"/>
      </w:pPr>
      <w:rPr>
        <w:rFonts w:ascii="Arial" w:hAnsi="Arial"/>
        <w:b/>
        <w:sz w:val="18"/>
      </w:rPr>
      <w:tblPr/>
      <w:trPr>
        <w:tblHeader/>
      </w:trPr>
      <w:tcPr>
        <w:tcBorders>
          <w:top w:val="single" w:sz="12" w:space="0" w:color="000000" w:themeColor="text1"/>
          <w:left w:val="nil"/>
          <w:bottom w:val="single" w:sz="8" w:space="0" w:color="000000" w:themeColor="text1"/>
          <w:right w:val="nil"/>
          <w:insideH w:val="nil"/>
          <w:insideV w:val="nil"/>
        </w:tcBorders>
        <w:shd w:val="clear" w:color="auto" w:fill="BFBFBF" w:themeFill="background1" w:themeFillShade="BF"/>
      </w:tcPr>
    </w:tblStylePr>
    <w:tblStylePr w:type="lastRow">
      <w:pPr>
        <w:spacing w:before="0" w:after="0" w:line="240" w:lineRule="auto"/>
      </w:pPr>
      <w:tblPr/>
      <w:trPr>
        <w:cantSplit w:val="0"/>
      </w:trPr>
      <w:tcPr>
        <w:tcBorders>
          <w:top w:val="single" w:sz="4" w:space="0" w:color="000000" w:themeColor="text1"/>
          <w:left w:val="nil"/>
          <w:bottom w:val="single" w:sz="12" w:space="0" w:color="000000" w:themeColor="text1"/>
          <w:right w:val="nil"/>
          <w:insideH w:val="nil"/>
          <w:insideV w:val="nil"/>
          <w:tl2br w:val="nil"/>
          <w:tr2bl w:val="nil"/>
        </w:tcBorders>
        <w:shd w:val="clear" w:color="auto" w:fill="auto"/>
      </w:tcPr>
    </w:tblStylePr>
    <w:tblStylePr w:type="firstCol">
      <w:pPr>
        <w:wordWrap/>
        <w:ind w:leftChars="0" w:left="0" w:rightChars="0" w:right="0"/>
        <w:jc w:val="left"/>
      </w:pPr>
      <w:rPr>
        <w:b w:val="0"/>
      </w:rPr>
      <w:tblPr>
        <w:tblCellMar>
          <w:top w:w="0" w:type="dxa"/>
          <w:left w:w="108" w:type="dxa"/>
          <w:bottom w:w="0" w:type="dxa"/>
          <w:right w:w="113" w:type="dxa"/>
        </w:tblCellMar>
      </w:tblPr>
      <w:trPr>
        <w:cantSplit w:val="0"/>
      </w:trPr>
    </w:tblStylePr>
    <w:tblStylePr w:type="lastCol">
      <w:pPr>
        <w:wordWrap/>
        <w:ind w:rightChars="0" w:right="170"/>
        <w:jc w:val="right"/>
      </w:pPr>
    </w:tblStylePr>
    <w:tblStylePr w:type="band1Vert">
      <w:pPr>
        <w:wordWrap/>
        <w:ind w:rightChars="0" w:right="170"/>
      </w:pPr>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I-tabellvertikal">
    <w:name w:val="TØI-tabell vertikal"/>
    <w:basedOn w:val="Vanligtabell"/>
    <w:uiPriority w:val="99"/>
    <w:rsid w:val="005F2C67"/>
    <w:pPr>
      <w:spacing w:before="60" w:after="20" w:line="180" w:lineRule="exact"/>
    </w:pPr>
    <w:rPr>
      <w:rFonts w:ascii="Calibri" w:hAnsi="Calibri"/>
      <w:sz w:val="18"/>
    </w:rPr>
    <w:tblPr>
      <w:tblStyleColBandSize w:val="1"/>
      <w:tblBorders>
        <w:insideV w:val="single" w:sz="4" w:space="0" w:color="BFBFBF" w:themeColor="background1" w:themeShade="BF"/>
      </w:tblBorders>
    </w:tblPr>
    <w:trPr>
      <w:cantSplit/>
    </w:trPr>
    <w:tcPr>
      <w:shd w:val="clear" w:color="auto" w:fill="auto"/>
    </w:tcPr>
    <w:tblStylePr w:type="firstRow">
      <w:rPr>
        <w:b/>
      </w:rPr>
      <w:tblPr/>
      <w:tcPr>
        <w:tcBorders>
          <w:bottom w:val="single" w:sz="4" w:space="0" w:color="auto"/>
        </w:tcBorders>
        <w:shd w:val="clear" w:color="auto" w:fill="BFBFBF" w:themeFill="background1" w:themeFillShade="BF"/>
      </w:tcPr>
    </w:tblStylePr>
    <w:tblStylePr w:type="lastRow">
      <w:rPr>
        <w:rFonts w:ascii="Arial" w:hAnsi="Arial"/>
        <w:sz w:val="18"/>
      </w:rPr>
      <w:tblPr/>
      <w:tcPr>
        <w:tcBorders>
          <w:top w:val="single" w:sz="4" w:space="0" w:color="auto"/>
          <w:bottom w:val="single" w:sz="12" w:space="0" w:color="auto"/>
        </w:tcBorders>
        <w:shd w:val="clear" w:color="auto" w:fill="D9D9D9" w:themeFill="background1" w:themeFillShade="D9"/>
      </w:tcPr>
    </w:tblStylePr>
    <w:tblStylePr w:type="firstCol">
      <w:rPr>
        <w:b w:val="0"/>
      </w:rPr>
    </w:tblStylePr>
    <w:tblStylePr w:type="band1Vert">
      <w:tblPr/>
      <w:tcPr>
        <w:tcBorders>
          <w:top w:val="nil"/>
          <w:left w:val="single" w:sz="8" w:space="0" w:color="BFBFBF" w:themeColor="background1" w:themeShade="BF"/>
          <w:bottom w:val="nil"/>
          <w:right w:val="single" w:sz="8" w:space="0" w:color="BFBFBF" w:themeColor="background1" w:themeShade="BF"/>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auto"/>
      </w:tcPr>
    </w:tblStylePr>
  </w:style>
  <w:style w:type="paragraph" w:styleId="Tittel">
    <w:name w:val="Title"/>
    <w:basedOn w:val="Normal"/>
    <w:next w:val="Normal"/>
    <w:link w:val="TittelTegn"/>
    <w:uiPriority w:val="10"/>
    <w:rsid w:val="00857740"/>
    <w:pPr>
      <w:contextualSpacing/>
    </w:pPr>
    <w:rPr>
      <w:rFonts w:eastAsiaTheme="majorEastAsia" w:cstheme="majorBidi"/>
      <w:b/>
      <w:color w:val="FFFFFF" w:themeColor="background1"/>
      <w:spacing w:val="-10"/>
      <w:kern w:val="28"/>
      <w:sz w:val="56"/>
      <w:szCs w:val="56"/>
    </w:rPr>
  </w:style>
  <w:style w:type="character" w:customStyle="1" w:styleId="TittelTegn">
    <w:name w:val="Tittel Tegn"/>
    <w:basedOn w:val="Standardskriftforavsnitt"/>
    <w:link w:val="Tittel"/>
    <w:uiPriority w:val="10"/>
    <w:rsid w:val="00857740"/>
    <w:rPr>
      <w:rFonts w:ascii="Calibri" w:eastAsiaTheme="majorEastAsia" w:hAnsi="Calibri" w:cstheme="majorBidi"/>
      <w:b/>
      <w:color w:val="FFFFFF" w:themeColor="background1"/>
      <w:spacing w:val="-10"/>
      <w:kern w:val="28"/>
      <w:sz w:val="56"/>
      <w:szCs w:val="56"/>
    </w:rPr>
  </w:style>
  <w:style w:type="character" w:styleId="Utheving">
    <w:name w:val="Emphasis"/>
    <w:basedOn w:val="Standardskriftforavsnitt"/>
    <w:uiPriority w:val="20"/>
    <w:qFormat/>
    <w:rsid w:val="009D4440"/>
    <w:rPr>
      <w:i/>
      <w:iCs/>
    </w:rPr>
  </w:style>
  <w:style w:type="paragraph" w:styleId="Undertittel">
    <w:name w:val="Subtitle"/>
    <w:basedOn w:val="Normal"/>
    <w:next w:val="Normal"/>
    <w:link w:val="UndertittelTegn"/>
    <w:uiPriority w:val="11"/>
    <w:rsid w:val="002021F8"/>
    <w:pPr>
      <w:numPr>
        <w:ilvl w:val="1"/>
      </w:numPr>
      <w:spacing w:after="1040"/>
    </w:pPr>
    <w:rPr>
      <w:rFonts w:eastAsiaTheme="minorEastAsia"/>
      <w:b/>
      <w:color w:val="FFFFFF" w:themeColor="background1"/>
      <w:spacing w:val="15"/>
      <w:sz w:val="48"/>
    </w:rPr>
  </w:style>
  <w:style w:type="character" w:customStyle="1" w:styleId="UndertittelTegn">
    <w:name w:val="Undertittel Tegn"/>
    <w:basedOn w:val="Standardskriftforavsnitt"/>
    <w:link w:val="Undertittel"/>
    <w:uiPriority w:val="11"/>
    <w:rsid w:val="002021F8"/>
    <w:rPr>
      <w:rFonts w:ascii="Calibri" w:eastAsiaTheme="minorEastAsia" w:hAnsi="Calibri"/>
      <w:b/>
      <w:color w:val="FFFFFF" w:themeColor="background1"/>
      <w:spacing w:val="15"/>
      <w:sz w:val="48"/>
    </w:rPr>
  </w:style>
  <w:style w:type="table" w:customStyle="1" w:styleId="TI-tabellrutenett">
    <w:name w:val="TØI-tabell rutenett"/>
    <w:basedOn w:val="TI-tabell"/>
    <w:uiPriority w:val="99"/>
    <w:rsid w:val="00071B61"/>
    <w:tblPr>
      <w:tblBorders>
        <w:top w:val="single" w:sz="12" w:space="0" w:color="auto"/>
        <w:bottom w:val="single" w:sz="12" w:space="0" w:color="auto"/>
        <w:insideH w:val="single" w:sz="8" w:space="0" w:color="BFBFBF" w:themeColor="background1" w:themeShade="BF"/>
        <w:insideV w:val="single" w:sz="8" w:space="0" w:color="BFBFBF" w:themeColor="background1" w:themeShade="BF"/>
      </w:tblBorders>
    </w:tblPr>
    <w:tblStylePr w:type="firstRow">
      <w:pPr>
        <w:jc w:val="center"/>
      </w:pPr>
      <w:rPr>
        <w:rFonts w:ascii="Arial" w:hAnsi="Arial"/>
        <w:b/>
        <w:sz w:val="18"/>
      </w:rPr>
      <w:tblPr/>
      <w:trPr>
        <w:tblHeader/>
      </w:trPr>
      <w:tcPr>
        <w:tcBorders>
          <w:top w:val="single" w:sz="12" w:space="0" w:color="000000" w:themeColor="text1"/>
          <w:bottom w:val="single" w:sz="8" w:space="0" w:color="000000" w:themeColor="text1"/>
        </w:tcBorders>
        <w:shd w:val="pct20" w:color="auto" w:fill="auto"/>
        <w:vAlign w:val="center"/>
      </w:tcPr>
    </w:tblStylePr>
    <w:tblStylePr w:type="lastRow">
      <w:tblPr/>
      <w:trPr>
        <w:cantSplit w:val="0"/>
      </w:trPr>
      <w:tcPr>
        <w:tcBorders>
          <w:top w:val="single" w:sz="8" w:space="0" w:color="000000" w:themeColor="text1"/>
          <w:left w:val="nil"/>
          <w:bottom w:val="single" w:sz="12" w:space="0" w:color="000000" w:themeColor="text1"/>
          <w:right w:val="nil"/>
          <w:insideH w:val="nil"/>
          <w:insideV w:val="nil"/>
          <w:tl2br w:val="nil"/>
          <w:tr2bl w:val="nil"/>
        </w:tcBorders>
        <w:shd w:val="clear" w:color="auto" w:fill="auto"/>
      </w:tcPr>
    </w:tblStylePr>
    <w:tblStylePr w:type="firstCol">
      <w:pPr>
        <w:wordWrap/>
        <w:ind w:leftChars="0" w:left="0" w:rightChars="0" w:right="0"/>
        <w:jc w:val="left"/>
      </w:pPr>
      <w:rPr>
        <w:rFonts w:ascii="Arial" w:hAnsi="Arial"/>
        <w:b/>
        <w:sz w:val="18"/>
      </w:rPr>
      <w:tblPr>
        <w:tblCellMar>
          <w:top w:w="0" w:type="dxa"/>
          <w:left w:w="108" w:type="dxa"/>
          <w:bottom w:w="0" w:type="dxa"/>
          <w:right w:w="113" w:type="dxa"/>
        </w:tblCellMar>
      </w:tblPr>
      <w:trPr>
        <w:cantSplit w:val="0"/>
      </w:trPr>
      <w:tcPr>
        <w:vAlign w:val="center"/>
      </w:tcPr>
    </w:tblStylePr>
  </w:style>
  <w:style w:type="paragraph" w:customStyle="1" w:styleId="SamOverskrift1">
    <w:name w:val="Sam Overskrift 1"/>
    <w:basedOn w:val="Overskrift2"/>
    <w:next w:val="Normal"/>
    <w:link w:val="SamOverskrift1Tegn"/>
    <w:qFormat/>
    <w:rsid w:val="00B660E6"/>
    <w:pPr>
      <w:keepLines w:val="0"/>
      <w:numPr>
        <w:ilvl w:val="0"/>
        <w:numId w:val="0"/>
      </w:numPr>
    </w:pPr>
    <w:rPr>
      <w:sz w:val="32"/>
      <w:szCs w:val="44"/>
    </w:rPr>
  </w:style>
  <w:style w:type="paragraph" w:customStyle="1" w:styleId="SamOverskrift2">
    <w:name w:val="Sam Overskrift 2"/>
    <w:basedOn w:val="SamOverskrift1"/>
    <w:next w:val="Normal"/>
    <w:link w:val="SamOverskrift2Tegn"/>
    <w:autoRedefine/>
    <w:qFormat/>
    <w:rsid w:val="003A088B"/>
    <w:pPr>
      <w:spacing w:before="240"/>
    </w:pPr>
    <w:rPr>
      <w:sz w:val="28"/>
    </w:rPr>
  </w:style>
  <w:style w:type="character" w:customStyle="1" w:styleId="Overskrift2Tegn">
    <w:name w:val="Overskrift 2 Tegn"/>
    <w:basedOn w:val="Standardskriftforavsnitt"/>
    <w:link w:val="Overskrift2"/>
    <w:rsid w:val="00357A82"/>
    <w:rPr>
      <w:rFonts w:ascii="Calibri" w:eastAsiaTheme="majorEastAsia" w:hAnsi="Calibri" w:cstheme="majorBidi"/>
      <w:b/>
      <w:color w:val="3F868D" w:themeColor="accent1"/>
      <w:sz w:val="36"/>
      <w:szCs w:val="26"/>
    </w:rPr>
  </w:style>
  <w:style w:type="character" w:customStyle="1" w:styleId="SamOverskrift1Tegn">
    <w:name w:val="Sam Overskrift 1 Tegn"/>
    <w:basedOn w:val="Overskrift2Tegn"/>
    <w:link w:val="SamOverskrift1"/>
    <w:rsid w:val="00B660E6"/>
    <w:rPr>
      <w:rFonts w:ascii="Calibri" w:eastAsiaTheme="majorEastAsia" w:hAnsi="Calibri" w:cstheme="majorBidi"/>
      <w:b/>
      <w:color w:val="3F868D" w:themeColor="accent1"/>
      <w:sz w:val="32"/>
      <w:szCs w:val="44"/>
    </w:rPr>
  </w:style>
  <w:style w:type="character" w:customStyle="1" w:styleId="SamOverskrift2Tegn">
    <w:name w:val="Sam Overskrift 2 Tegn"/>
    <w:basedOn w:val="SamOverskrift1Tegn"/>
    <w:link w:val="SamOverskrift2"/>
    <w:rsid w:val="003A088B"/>
    <w:rPr>
      <w:rFonts w:ascii="Calibri" w:eastAsiaTheme="majorEastAsia" w:hAnsi="Calibri" w:cstheme="majorBidi"/>
      <w:b/>
      <w:color w:val="3F868D" w:themeColor="accent1"/>
      <w:sz w:val="28"/>
      <w:szCs w:val="44"/>
    </w:rPr>
  </w:style>
  <w:style w:type="character" w:customStyle="1" w:styleId="Overskrift3Tegn">
    <w:name w:val="Overskrift 3 Tegn"/>
    <w:basedOn w:val="Standardskriftforavsnitt"/>
    <w:link w:val="Overskrift3"/>
    <w:uiPriority w:val="9"/>
    <w:rsid w:val="00357A82"/>
    <w:rPr>
      <w:rFonts w:ascii="Calibri" w:eastAsiaTheme="majorEastAsia" w:hAnsi="Calibri" w:cstheme="majorBidi"/>
      <w:b/>
      <w:color w:val="3F868D" w:themeColor="accent1"/>
      <w:sz w:val="28"/>
      <w:szCs w:val="24"/>
    </w:rPr>
  </w:style>
  <w:style w:type="character" w:customStyle="1" w:styleId="Overskrift4Tegn">
    <w:name w:val="Overskrift 4 Tegn"/>
    <w:basedOn w:val="Standardskriftforavsnitt"/>
    <w:link w:val="Overskrift4"/>
    <w:uiPriority w:val="9"/>
    <w:rsid w:val="00BD6F8F"/>
    <w:rPr>
      <w:rFonts w:ascii="Calibri" w:eastAsiaTheme="majorEastAsia" w:hAnsi="Calibri" w:cstheme="majorBidi"/>
      <w:iCs/>
      <w:color w:val="3F868D" w:themeColor="accent1"/>
    </w:rPr>
  </w:style>
  <w:style w:type="character" w:customStyle="1" w:styleId="Overskrift5Tegn">
    <w:name w:val="Overskrift 5 Tegn"/>
    <w:basedOn w:val="Standardskriftforavsnitt"/>
    <w:link w:val="Overskrift5"/>
    <w:uiPriority w:val="9"/>
    <w:rsid w:val="00485C69"/>
    <w:rPr>
      <w:rFonts w:asciiTheme="majorHAnsi" w:eastAsiaTheme="majorEastAsia" w:hAnsiTheme="majorHAnsi" w:cstheme="majorBidi"/>
      <w:color w:val="2F6469" w:themeColor="accent1" w:themeShade="BF"/>
      <w:sz w:val="21"/>
    </w:rPr>
  </w:style>
  <w:style w:type="character" w:customStyle="1" w:styleId="Overskrift6Tegn">
    <w:name w:val="Overskrift 6 Tegn"/>
    <w:basedOn w:val="Standardskriftforavsnitt"/>
    <w:link w:val="Overskrift6"/>
    <w:uiPriority w:val="9"/>
    <w:rsid w:val="00485C69"/>
    <w:rPr>
      <w:rFonts w:asciiTheme="majorHAnsi" w:eastAsiaTheme="majorEastAsia" w:hAnsiTheme="majorHAnsi" w:cstheme="majorBidi"/>
      <w:color w:val="1F4246" w:themeColor="accent1" w:themeShade="7F"/>
      <w:sz w:val="21"/>
    </w:rPr>
  </w:style>
  <w:style w:type="character" w:customStyle="1" w:styleId="Overskrift7Tegn">
    <w:name w:val="Overskrift 7 Tegn"/>
    <w:basedOn w:val="Standardskriftforavsnitt"/>
    <w:link w:val="Overskrift7"/>
    <w:uiPriority w:val="9"/>
    <w:rsid w:val="00485C69"/>
    <w:rPr>
      <w:rFonts w:asciiTheme="majorHAnsi" w:eastAsiaTheme="majorEastAsia" w:hAnsiTheme="majorHAnsi" w:cstheme="majorBidi"/>
      <w:i/>
      <w:iCs/>
      <w:color w:val="1F4246" w:themeColor="accent1" w:themeShade="7F"/>
      <w:sz w:val="21"/>
    </w:rPr>
  </w:style>
  <w:style w:type="character" w:customStyle="1" w:styleId="Overskrift8Tegn">
    <w:name w:val="Overskrift 8 Tegn"/>
    <w:basedOn w:val="Standardskriftforavsnitt"/>
    <w:link w:val="Overskrift8"/>
    <w:uiPriority w:val="9"/>
    <w:rsid w:val="00485C69"/>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rsid w:val="00485C69"/>
    <w:rPr>
      <w:rFonts w:asciiTheme="majorHAnsi" w:eastAsiaTheme="majorEastAsia" w:hAnsiTheme="majorHAnsi" w:cstheme="majorBidi"/>
      <w:i/>
      <w:iCs/>
      <w:color w:val="272727" w:themeColor="text1" w:themeTint="D8"/>
      <w:sz w:val="21"/>
      <w:szCs w:val="21"/>
    </w:rPr>
  </w:style>
  <w:style w:type="paragraph" w:styleId="Punktliste">
    <w:name w:val="List Bullet"/>
    <w:basedOn w:val="Normal"/>
    <w:uiPriority w:val="99"/>
    <w:unhideWhenUsed/>
    <w:rsid w:val="00190818"/>
    <w:pPr>
      <w:numPr>
        <w:numId w:val="1"/>
      </w:numPr>
      <w:contextualSpacing/>
    </w:pPr>
  </w:style>
  <w:style w:type="paragraph" w:customStyle="1" w:styleId="Tabelltekst">
    <w:name w:val="Tabelltekst"/>
    <w:basedOn w:val="Normal"/>
    <w:next w:val="Normal"/>
    <w:link w:val="TabelltekstTegn"/>
    <w:qFormat/>
    <w:rsid w:val="00485C69"/>
    <w:pPr>
      <w:keepNext/>
      <w:tabs>
        <w:tab w:val="left" w:pos="1134"/>
      </w:tabs>
      <w:spacing w:before="360" w:after="60"/>
    </w:pPr>
    <w:rPr>
      <w:i/>
      <w:color w:val="000000" w:themeColor="text1"/>
      <w:szCs w:val="20"/>
    </w:rPr>
  </w:style>
  <w:style w:type="character" w:customStyle="1" w:styleId="TabelltekstTegn">
    <w:name w:val="Tabelltekst Tegn"/>
    <w:basedOn w:val="Standardskriftforavsnitt"/>
    <w:link w:val="Tabelltekst"/>
    <w:rsid w:val="00485C69"/>
    <w:rPr>
      <w:rFonts w:ascii="Calibri" w:hAnsi="Calibri"/>
      <w:i/>
      <w:color w:val="000000" w:themeColor="text1"/>
      <w:szCs w:val="20"/>
    </w:rPr>
  </w:style>
  <w:style w:type="paragraph" w:customStyle="1" w:styleId="Vedlegg">
    <w:name w:val="Vedlegg"/>
    <w:basedOn w:val="Overskrift1"/>
    <w:link w:val="VedleggTegn"/>
    <w:qFormat/>
    <w:rsid w:val="00485C69"/>
    <w:pPr>
      <w:numPr>
        <w:numId w:val="0"/>
      </w:numPr>
    </w:pPr>
  </w:style>
  <w:style w:type="character" w:customStyle="1" w:styleId="VedleggTegn">
    <w:name w:val="Vedlegg Tegn"/>
    <w:basedOn w:val="Overskrift1Tegn"/>
    <w:link w:val="Vedlegg"/>
    <w:rsid w:val="00485C69"/>
    <w:rPr>
      <w:rFonts w:ascii="Calibri" w:eastAsiaTheme="majorEastAsia" w:hAnsi="Calibri" w:cstheme="majorBidi"/>
      <w:b/>
      <w:color w:val="46949F"/>
      <w:sz w:val="48"/>
      <w:szCs w:val="32"/>
    </w:rPr>
  </w:style>
  <w:style w:type="paragraph" w:customStyle="1" w:styleId="Vedlegg1">
    <w:name w:val="Vedlegg 1"/>
    <w:basedOn w:val="Overskrift2"/>
    <w:next w:val="Normal"/>
    <w:link w:val="Vedlegg1Tegn"/>
    <w:qFormat/>
    <w:rsid w:val="000A508E"/>
    <w:pPr>
      <w:numPr>
        <w:ilvl w:val="0"/>
        <w:numId w:val="3"/>
      </w:numPr>
      <w:spacing w:before="240"/>
      <w:ind w:left="737" w:hanging="737"/>
    </w:pPr>
  </w:style>
  <w:style w:type="character" w:customStyle="1" w:styleId="Vedlegg1Tegn">
    <w:name w:val="Vedlegg 1 Tegn"/>
    <w:basedOn w:val="Overskrift2Tegn"/>
    <w:link w:val="Vedlegg1"/>
    <w:rsid w:val="000A508E"/>
    <w:rPr>
      <w:rFonts w:ascii="Calibri" w:eastAsiaTheme="majorEastAsia" w:hAnsi="Calibri" w:cstheme="majorBidi"/>
      <w:b/>
      <w:color w:val="3F868D" w:themeColor="accent1"/>
      <w:sz w:val="36"/>
      <w:szCs w:val="26"/>
    </w:rPr>
  </w:style>
  <w:style w:type="paragraph" w:customStyle="1" w:styleId="Referanser">
    <w:name w:val="Referanser"/>
    <w:basedOn w:val="Normal"/>
    <w:link w:val="ReferanserTegn"/>
    <w:qFormat/>
    <w:rsid w:val="00485C69"/>
    <w:pPr>
      <w:ind w:left="720" w:hanging="720"/>
    </w:pPr>
  </w:style>
  <w:style w:type="character" w:customStyle="1" w:styleId="ReferanserTegn">
    <w:name w:val="Referanser Tegn"/>
    <w:basedOn w:val="Standardskriftforavsnitt"/>
    <w:link w:val="Referanser"/>
    <w:rsid w:val="00485C69"/>
    <w:rPr>
      <w:rFonts w:ascii="Calibri" w:hAnsi="Calibri"/>
    </w:rPr>
  </w:style>
  <w:style w:type="character" w:styleId="Boktittel">
    <w:name w:val="Book Title"/>
    <w:basedOn w:val="Standardskriftforavsnitt"/>
    <w:uiPriority w:val="33"/>
    <w:rsid w:val="00D83ECC"/>
    <w:rPr>
      <w:b/>
      <w:bCs/>
      <w:i/>
      <w:iCs/>
      <w:spacing w:val="5"/>
    </w:rPr>
  </w:style>
  <w:style w:type="table" w:styleId="Enkelttabell1">
    <w:name w:val="Table Simple 1"/>
    <w:basedOn w:val="Vanligtabell"/>
    <w:rsid w:val="008D333A"/>
    <w:pPr>
      <w:spacing w:after="120" w:line="240" w:lineRule="auto"/>
    </w:pPr>
    <w:rPr>
      <w:rFonts w:ascii="Arial" w:eastAsia="Times New Roman" w:hAnsi="Arial" w:cs="Times New Roman"/>
      <w:sz w:val="18"/>
      <w:szCs w:val="20"/>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Dokinfo">
    <w:name w:val="Dok.info"/>
    <w:basedOn w:val="Normal"/>
    <w:link w:val="DokinfoTegn"/>
    <w:rsid w:val="00AC4CFC"/>
    <w:pPr>
      <w:spacing w:before="60" w:after="60" w:line="200" w:lineRule="exact"/>
    </w:pPr>
    <w:rPr>
      <w:rFonts w:cs="Calibri"/>
      <w:sz w:val="20"/>
      <w:szCs w:val="20"/>
    </w:rPr>
  </w:style>
  <w:style w:type="paragraph" w:customStyle="1" w:styleId="Dokinfosam">
    <w:name w:val="Dok.info sam"/>
    <w:basedOn w:val="Normal"/>
    <w:link w:val="DokinfosamTegn"/>
    <w:rsid w:val="00FF45C9"/>
    <w:pPr>
      <w:framePr w:hSpace="142" w:wrap="around" w:vAnchor="text" w:hAnchor="text" w:y="1"/>
      <w:spacing w:before="360" w:after="0" w:line="180" w:lineRule="exact"/>
      <w:suppressOverlap/>
    </w:pPr>
    <w:rPr>
      <w:sz w:val="18"/>
      <w:szCs w:val="18"/>
    </w:rPr>
  </w:style>
  <w:style w:type="character" w:customStyle="1" w:styleId="DokinfoTegn">
    <w:name w:val="Dok.info Tegn"/>
    <w:basedOn w:val="Standardskriftforavsnitt"/>
    <w:link w:val="Dokinfo"/>
    <w:rsid w:val="00AC4CFC"/>
    <w:rPr>
      <w:rFonts w:ascii="Calibri" w:hAnsi="Calibri" w:cs="Calibri"/>
      <w:sz w:val="20"/>
      <w:szCs w:val="20"/>
    </w:rPr>
  </w:style>
  <w:style w:type="character" w:customStyle="1" w:styleId="DokinfosamTegn">
    <w:name w:val="Dok.info sam Tegn"/>
    <w:basedOn w:val="Standardskriftforavsnitt"/>
    <w:link w:val="Dokinfosam"/>
    <w:rsid w:val="00FF45C9"/>
    <w:rPr>
      <w:rFonts w:ascii="Calibri" w:hAnsi="Calibri"/>
      <w:sz w:val="18"/>
      <w:szCs w:val="18"/>
    </w:rPr>
  </w:style>
  <w:style w:type="paragraph" w:customStyle="1" w:styleId="Navn">
    <w:name w:val="Navn"/>
    <w:basedOn w:val="Normal"/>
    <w:link w:val="NavnTegn"/>
    <w:rsid w:val="00BD1AD5"/>
    <w:pPr>
      <w:spacing w:after="0"/>
    </w:pPr>
    <w:rPr>
      <w:color w:val="FFFFFF" w:themeColor="background1"/>
      <w:sz w:val="34"/>
      <w:szCs w:val="34"/>
    </w:rPr>
  </w:style>
  <w:style w:type="paragraph" w:customStyle="1" w:styleId="Rapportnummer">
    <w:name w:val="Rapportnummer"/>
    <w:basedOn w:val="Normal"/>
    <w:link w:val="RapportnummerTegn"/>
    <w:rsid w:val="00BD1AD5"/>
    <w:pPr>
      <w:spacing w:before="360"/>
    </w:pPr>
    <w:rPr>
      <w:color w:val="FFFFFF" w:themeColor="background1"/>
      <w:sz w:val="32"/>
      <w:szCs w:val="32"/>
    </w:rPr>
  </w:style>
  <w:style w:type="character" w:customStyle="1" w:styleId="NavnTegn">
    <w:name w:val="Navn Tegn"/>
    <w:basedOn w:val="Standardskriftforavsnitt"/>
    <w:link w:val="Navn"/>
    <w:rsid w:val="00BD1AD5"/>
    <w:rPr>
      <w:rFonts w:ascii="Calibri" w:hAnsi="Calibri"/>
      <w:color w:val="FFFFFF" w:themeColor="background1"/>
      <w:sz w:val="34"/>
      <w:szCs w:val="34"/>
    </w:rPr>
  </w:style>
  <w:style w:type="character" w:customStyle="1" w:styleId="RapportnummerTegn">
    <w:name w:val="Rapportnummer Tegn"/>
    <w:basedOn w:val="Standardskriftforavsnitt"/>
    <w:link w:val="Rapportnummer"/>
    <w:rsid w:val="00BD1AD5"/>
    <w:rPr>
      <w:rFonts w:ascii="Calibri" w:hAnsi="Calibri"/>
      <w:color w:val="FFFFFF" w:themeColor="background1"/>
      <w:sz w:val="32"/>
      <w:szCs w:val="32"/>
    </w:rPr>
  </w:style>
  <w:style w:type="paragraph" w:customStyle="1" w:styleId="Prosjektnr">
    <w:name w:val="Prosjektnr"/>
    <w:basedOn w:val="Normal"/>
    <w:link w:val="ProsjektnrTegn"/>
    <w:rsid w:val="0031030B"/>
    <w:pPr>
      <w:spacing w:before="60" w:after="60" w:line="200" w:lineRule="exact"/>
    </w:pPr>
    <w:rPr>
      <w:sz w:val="20"/>
      <w:szCs w:val="20"/>
    </w:rPr>
  </w:style>
  <w:style w:type="paragraph" w:customStyle="1" w:styleId="Prosjektleder">
    <w:name w:val="Prosjektleder"/>
    <w:basedOn w:val="Normal"/>
    <w:link w:val="ProsjektlederTegn"/>
    <w:rsid w:val="0031030B"/>
    <w:pPr>
      <w:spacing w:before="60" w:after="60" w:line="200" w:lineRule="exact"/>
    </w:pPr>
    <w:rPr>
      <w:sz w:val="20"/>
      <w:szCs w:val="20"/>
    </w:rPr>
  </w:style>
  <w:style w:type="character" w:customStyle="1" w:styleId="ProsjektnrTegn">
    <w:name w:val="Prosjektnr Tegn"/>
    <w:basedOn w:val="Standardskriftforavsnitt"/>
    <w:link w:val="Prosjektnr"/>
    <w:rsid w:val="0031030B"/>
    <w:rPr>
      <w:rFonts w:ascii="Calibri" w:hAnsi="Calibri"/>
      <w:sz w:val="20"/>
      <w:szCs w:val="20"/>
    </w:rPr>
  </w:style>
  <w:style w:type="paragraph" w:customStyle="1" w:styleId="Kvalitetsansvarlig">
    <w:name w:val="Kvalitetsansvarlig"/>
    <w:basedOn w:val="Normal"/>
    <w:link w:val="KvalitetsansvarligTegn"/>
    <w:rsid w:val="0031030B"/>
    <w:pPr>
      <w:spacing w:before="60" w:after="60" w:line="200" w:lineRule="exact"/>
    </w:pPr>
    <w:rPr>
      <w:sz w:val="20"/>
      <w:szCs w:val="20"/>
    </w:rPr>
  </w:style>
  <w:style w:type="character" w:customStyle="1" w:styleId="ProsjektlederTegn">
    <w:name w:val="Prosjektleder Tegn"/>
    <w:basedOn w:val="Standardskriftforavsnitt"/>
    <w:link w:val="Prosjektleder"/>
    <w:rsid w:val="0031030B"/>
    <w:rPr>
      <w:rFonts w:ascii="Calibri" w:hAnsi="Calibri"/>
      <w:sz w:val="20"/>
      <w:szCs w:val="20"/>
    </w:rPr>
  </w:style>
  <w:style w:type="paragraph" w:customStyle="1" w:styleId="Oppdragsgivere">
    <w:name w:val="Oppdragsgiver(e)"/>
    <w:basedOn w:val="Normal"/>
    <w:link w:val="OppdragsgivereTegn"/>
    <w:rsid w:val="0031030B"/>
    <w:pPr>
      <w:spacing w:before="60" w:after="60" w:line="200" w:lineRule="exact"/>
    </w:pPr>
    <w:rPr>
      <w:sz w:val="20"/>
      <w:szCs w:val="20"/>
    </w:rPr>
  </w:style>
  <w:style w:type="character" w:customStyle="1" w:styleId="KvalitetsansvarligTegn">
    <w:name w:val="Kvalitetsansvarlig Tegn"/>
    <w:basedOn w:val="Standardskriftforavsnitt"/>
    <w:link w:val="Kvalitetsansvarlig"/>
    <w:rsid w:val="0031030B"/>
    <w:rPr>
      <w:rFonts w:ascii="Calibri" w:hAnsi="Calibri"/>
      <w:sz w:val="20"/>
      <w:szCs w:val="20"/>
    </w:rPr>
  </w:style>
  <w:style w:type="character" w:customStyle="1" w:styleId="OppdragsgivereTegn">
    <w:name w:val="Oppdragsgiver(e) Tegn"/>
    <w:basedOn w:val="Standardskriftforavsnitt"/>
    <w:link w:val="Oppdragsgivere"/>
    <w:rsid w:val="0031030B"/>
    <w:rPr>
      <w:rFonts w:ascii="Calibri" w:hAnsi="Calibri"/>
      <w:sz w:val="20"/>
      <w:szCs w:val="20"/>
    </w:rPr>
  </w:style>
  <w:style w:type="paragraph" w:customStyle="1" w:styleId="Kommentar">
    <w:name w:val="Kommentar"/>
    <w:basedOn w:val="Listeavsnitt"/>
    <w:link w:val="KommentarTegn1"/>
    <w:qFormat/>
    <w:rsid w:val="00BE30CB"/>
    <w:pPr>
      <w:numPr>
        <w:numId w:val="4"/>
      </w:numPr>
      <w:spacing w:before="60" w:after="60"/>
    </w:pPr>
    <w:rPr>
      <w:rFonts w:ascii="Corbel" w:eastAsia="Times New Roman" w:hAnsi="Corbel" w:cs="Times New Roman"/>
      <w:color w:val="FF0000"/>
      <w:sz w:val="18"/>
      <w:szCs w:val="18"/>
    </w:rPr>
  </w:style>
  <w:style w:type="character" w:customStyle="1" w:styleId="KommentarTegn1">
    <w:name w:val="Kommentar Tegn1"/>
    <w:basedOn w:val="Standardskriftforavsnitt"/>
    <w:link w:val="Kommentar"/>
    <w:rsid w:val="00BE30CB"/>
    <w:rPr>
      <w:rFonts w:ascii="Corbel" w:eastAsia="Times New Roman" w:hAnsi="Corbel" w:cs="Times New Roman"/>
      <w:color w:val="FF0000"/>
      <w:sz w:val="18"/>
      <w:szCs w:val="18"/>
    </w:rPr>
  </w:style>
  <w:style w:type="character" w:customStyle="1" w:styleId="ListeavsnittTegn">
    <w:name w:val="Listeavsnitt Tegn"/>
    <w:basedOn w:val="Standardskriftforavsnitt"/>
    <w:link w:val="Listeavsnitt"/>
    <w:uiPriority w:val="34"/>
    <w:rsid w:val="00BE30CB"/>
    <w:rPr>
      <w:rFonts w:ascii="Calibri" w:hAnsi="Calibri"/>
    </w:rPr>
  </w:style>
  <w:style w:type="character" w:styleId="Ulstomtale">
    <w:name w:val="Unresolved Mention"/>
    <w:basedOn w:val="Standardskriftforavsnitt"/>
    <w:uiPriority w:val="99"/>
    <w:semiHidden/>
    <w:unhideWhenUsed/>
    <w:rsid w:val="005F1ADE"/>
    <w:rPr>
      <w:color w:val="605E5C"/>
      <w:shd w:val="clear" w:color="auto" w:fill="E1DFDD"/>
    </w:rPr>
  </w:style>
  <w:style w:type="paragraph" w:customStyle="1" w:styleId="Ref">
    <w:name w:val="Ref"/>
    <w:basedOn w:val="Normal"/>
    <w:qFormat/>
    <w:rsid w:val="00202C94"/>
    <w:pPr>
      <w:ind w:left="851" w:hanging="851"/>
    </w:pPr>
    <w:rPr>
      <w:lang w:val="en-US"/>
    </w:rPr>
  </w:style>
  <w:style w:type="paragraph" w:styleId="Revisjon">
    <w:name w:val="Revision"/>
    <w:hidden/>
    <w:uiPriority w:val="99"/>
    <w:semiHidden/>
    <w:rsid w:val="009A54BF"/>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54481">
      <w:bodyDiv w:val="1"/>
      <w:marLeft w:val="0"/>
      <w:marRight w:val="0"/>
      <w:marTop w:val="0"/>
      <w:marBottom w:val="0"/>
      <w:divBdr>
        <w:top w:val="none" w:sz="0" w:space="0" w:color="auto"/>
        <w:left w:val="none" w:sz="0" w:space="0" w:color="auto"/>
        <w:bottom w:val="none" w:sz="0" w:space="0" w:color="auto"/>
        <w:right w:val="none" w:sz="0" w:space="0" w:color="auto"/>
      </w:divBdr>
    </w:div>
    <w:div w:id="202834829">
      <w:bodyDiv w:val="1"/>
      <w:marLeft w:val="0"/>
      <w:marRight w:val="0"/>
      <w:marTop w:val="0"/>
      <w:marBottom w:val="0"/>
      <w:divBdr>
        <w:top w:val="none" w:sz="0" w:space="0" w:color="auto"/>
        <w:left w:val="none" w:sz="0" w:space="0" w:color="auto"/>
        <w:bottom w:val="none" w:sz="0" w:space="0" w:color="auto"/>
        <w:right w:val="none" w:sz="0" w:space="0" w:color="auto"/>
      </w:divBdr>
    </w:div>
    <w:div w:id="279651822">
      <w:bodyDiv w:val="1"/>
      <w:marLeft w:val="0"/>
      <w:marRight w:val="0"/>
      <w:marTop w:val="0"/>
      <w:marBottom w:val="0"/>
      <w:divBdr>
        <w:top w:val="none" w:sz="0" w:space="0" w:color="auto"/>
        <w:left w:val="none" w:sz="0" w:space="0" w:color="auto"/>
        <w:bottom w:val="none" w:sz="0" w:space="0" w:color="auto"/>
        <w:right w:val="none" w:sz="0" w:space="0" w:color="auto"/>
      </w:divBdr>
      <w:divsChild>
        <w:div w:id="2107073036">
          <w:marLeft w:val="0"/>
          <w:marRight w:val="0"/>
          <w:marTop w:val="240"/>
          <w:marBottom w:val="240"/>
          <w:divBdr>
            <w:top w:val="none" w:sz="0" w:space="0" w:color="auto"/>
            <w:left w:val="none" w:sz="0" w:space="0" w:color="auto"/>
            <w:bottom w:val="none" w:sz="0" w:space="0" w:color="auto"/>
            <w:right w:val="none" w:sz="0" w:space="0" w:color="auto"/>
          </w:divBdr>
        </w:div>
        <w:div w:id="5177468">
          <w:marLeft w:val="0"/>
          <w:marRight w:val="0"/>
          <w:marTop w:val="240"/>
          <w:marBottom w:val="240"/>
          <w:divBdr>
            <w:top w:val="none" w:sz="0" w:space="0" w:color="auto"/>
            <w:left w:val="none" w:sz="0" w:space="0" w:color="auto"/>
            <w:bottom w:val="none" w:sz="0" w:space="0" w:color="auto"/>
            <w:right w:val="none" w:sz="0" w:space="0" w:color="auto"/>
          </w:divBdr>
        </w:div>
      </w:divsChild>
    </w:div>
    <w:div w:id="377635160">
      <w:bodyDiv w:val="1"/>
      <w:marLeft w:val="0"/>
      <w:marRight w:val="0"/>
      <w:marTop w:val="0"/>
      <w:marBottom w:val="0"/>
      <w:divBdr>
        <w:top w:val="none" w:sz="0" w:space="0" w:color="auto"/>
        <w:left w:val="none" w:sz="0" w:space="0" w:color="auto"/>
        <w:bottom w:val="none" w:sz="0" w:space="0" w:color="auto"/>
        <w:right w:val="none" w:sz="0" w:space="0" w:color="auto"/>
      </w:divBdr>
    </w:div>
    <w:div w:id="484009905">
      <w:bodyDiv w:val="1"/>
      <w:marLeft w:val="0"/>
      <w:marRight w:val="0"/>
      <w:marTop w:val="0"/>
      <w:marBottom w:val="0"/>
      <w:divBdr>
        <w:top w:val="none" w:sz="0" w:space="0" w:color="auto"/>
        <w:left w:val="none" w:sz="0" w:space="0" w:color="auto"/>
        <w:bottom w:val="none" w:sz="0" w:space="0" w:color="auto"/>
        <w:right w:val="none" w:sz="0" w:space="0" w:color="auto"/>
      </w:divBdr>
    </w:div>
    <w:div w:id="719520533">
      <w:bodyDiv w:val="1"/>
      <w:marLeft w:val="0"/>
      <w:marRight w:val="0"/>
      <w:marTop w:val="0"/>
      <w:marBottom w:val="0"/>
      <w:divBdr>
        <w:top w:val="none" w:sz="0" w:space="0" w:color="auto"/>
        <w:left w:val="none" w:sz="0" w:space="0" w:color="auto"/>
        <w:bottom w:val="none" w:sz="0" w:space="0" w:color="auto"/>
        <w:right w:val="none" w:sz="0" w:space="0" w:color="auto"/>
      </w:divBdr>
    </w:div>
    <w:div w:id="803931263">
      <w:bodyDiv w:val="1"/>
      <w:marLeft w:val="0"/>
      <w:marRight w:val="0"/>
      <w:marTop w:val="0"/>
      <w:marBottom w:val="0"/>
      <w:divBdr>
        <w:top w:val="none" w:sz="0" w:space="0" w:color="auto"/>
        <w:left w:val="none" w:sz="0" w:space="0" w:color="auto"/>
        <w:bottom w:val="none" w:sz="0" w:space="0" w:color="auto"/>
        <w:right w:val="none" w:sz="0" w:space="0" w:color="auto"/>
      </w:divBdr>
    </w:div>
    <w:div w:id="847327489">
      <w:bodyDiv w:val="1"/>
      <w:marLeft w:val="0"/>
      <w:marRight w:val="0"/>
      <w:marTop w:val="0"/>
      <w:marBottom w:val="0"/>
      <w:divBdr>
        <w:top w:val="none" w:sz="0" w:space="0" w:color="auto"/>
        <w:left w:val="none" w:sz="0" w:space="0" w:color="auto"/>
        <w:bottom w:val="none" w:sz="0" w:space="0" w:color="auto"/>
        <w:right w:val="none" w:sz="0" w:space="0" w:color="auto"/>
      </w:divBdr>
      <w:divsChild>
        <w:div w:id="376318406">
          <w:marLeft w:val="806"/>
          <w:marRight w:val="0"/>
          <w:marTop w:val="125"/>
          <w:marBottom w:val="0"/>
          <w:divBdr>
            <w:top w:val="none" w:sz="0" w:space="0" w:color="auto"/>
            <w:left w:val="none" w:sz="0" w:space="0" w:color="auto"/>
            <w:bottom w:val="none" w:sz="0" w:space="0" w:color="auto"/>
            <w:right w:val="none" w:sz="0" w:space="0" w:color="auto"/>
          </w:divBdr>
        </w:div>
        <w:div w:id="53895682">
          <w:marLeft w:val="806"/>
          <w:marRight w:val="0"/>
          <w:marTop w:val="125"/>
          <w:marBottom w:val="0"/>
          <w:divBdr>
            <w:top w:val="none" w:sz="0" w:space="0" w:color="auto"/>
            <w:left w:val="none" w:sz="0" w:space="0" w:color="auto"/>
            <w:bottom w:val="none" w:sz="0" w:space="0" w:color="auto"/>
            <w:right w:val="none" w:sz="0" w:space="0" w:color="auto"/>
          </w:divBdr>
        </w:div>
        <w:div w:id="1559973155">
          <w:marLeft w:val="806"/>
          <w:marRight w:val="0"/>
          <w:marTop w:val="125"/>
          <w:marBottom w:val="0"/>
          <w:divBdr>
            <w:top w:val="none" w:sz="0" w:space="0" w:color="auto"/>
            <w:left w:val="none" w:sz="0" w:space="0" w:color="auto"/>
            <w:bottom w:val="none" w:sz="0" w:space="0" w:color="auto"/>
            <w:right w:val="none" w:sz="0" w:space="0" w:color="auto"/>
          </w:divBdr>
        </w:div>
        <w:div w:id="1058242256">
          <w:marLeft w:val="1138"/>
          <w:marRight w:val="0"/>
          <w:marTop w:val="106"/>
          <w:marBottom w:val="0"/>
          <w:divBdr>
            <w:top w:val="none" w:sz="0" w:space="0" w:color="auto"/>
            <w:left w:val="none" w:sz="0" w:space="0" w:color="auto"/>
            <w:bottom w:val="none" w:sz="0" w:space="0" w:color="auto"/>
            <w:right w:val="none" w:sz="0" w:space="0" w:color="auto"/>
          </w:divBdr>
        </w:div>
      </w:divsChild>
    </w:div>
    <w:div w:id="875655175">
      <w:bodyDiv w:val="1"/>
      <w:marLeft w:val="0"/>
      <w:marRight w:val="0"/>
      <w:marTop w:val="0"/>
      <w:marBottom w:val="0"/>
      <w:divBdr>
        <w:top w:val="none" w:sz="0" w:space="0" w:color="auto"/>
        <w:left w:val="none" w:sz="0" w:space="0" w:color="auto"/>
        <w:bottom w:val="none" w:sz="0" w:space="0" w:color="auto"/>
        <w:right w:val="none" w:sz="0" w:space="0" w:color="auto"/>
      </w:divBdr>
    </w:div>
    <w:div w:id="956717193">
      <w:bodyDiv w:val="1"/>
      <w:marLeft w:val="0"/>
      <w:marRight w:val="0"/>
      <w:marTop w:val="0"/>
      <w:marBottom w:val="0"/>
      <w:divBdr>
        <w:top w:val="none" w:sz="0" w:space="0" w:color="auto"/>
        <w:left w:val="none" w:sz="0" w:space="0" w:color="auto"/>
        <w:bottom w:val="none" w:sz="0" w:space="0" w:color="auto"/>
        <w:right w:val="none" w:sz="0" w:space="0" w:color="auto"/>
      </w:divBdr>
    </w:div>
    <w:div w:id="970091559">
      <w:bodyDiv w:val="1"/>
      <w:marLeft w:val="0"/>
      <w:marRight w:val="0"/>
      <w:marTop w:val="0"/>
      <w:marBottom w:val="0"/>
      <w:divBdr>
        <w:top w:val="none" w:sz="0" w:space="0" w:color="auto"/>
        <w:left w:val="none" w:sz="0" w:space="0" w:color="auto"/>
        <w:bottom w:val="none" w:sz="0" w:space="0" w:color="auto"/>
        <w:right w:val="none" w:sz="0" w:space="0" w:color="auto"/>
      </w:divBdr>
    </w:div>
    <w:div w:id="1055855892">
      <w:bodyDiv w:val="1"/>
      <w:marLeft w:val="0"/>
      <w:marRight w:val="0"/>
      <w:marTop w:val="0"/>
      <w:marBottom w:val="0"/>
      <w:divBdr>
        <w:top w:val="none" w:sz="0" w:space="0" w:color="auto"/>
        <w:left w:val="none" w:sz="0" w:space="0" w:color="auto"/>
        <w:bottom w:val="none" w:sz="0" w:space="0" w:color="auto"/>
        <w:right w:val="none" w:sz="0" w:space="0" w:color="auto"/>
      </w:divBdr>
    </w:div>
    <w:div w:id="1183200630">
      <w:bodyDiv w:val="1"/>
      <w:marLeft w:val="0"/>
      <w:marRight w:val="0"/>
      <w:marTop w:val="0"/>
      <w:marBottom w:val="0"/>
      <w:divBdr>
        <w:top w:val="none" w:sz="0" w:space="0" w:color="auto"/>
        <w:left w:val="none" w:sz="0" w:space="0" w:color="auto"/>
        <w:bottom w:val="none" w:sz="0" w:space="0" w:color="auto"/>
        <w:right w:val="none" w:sz="0" w:space="0" w:color="auto"/>
      </w:divBdr>
    </w:div>
    <w:div w:id="1359620098">
      <w:bodyDiv w:val="1"/>
      <w:marLeft w:val="0"/>
      <w:marRight w:val="0"/>
      <w:marTop w:val="0"/>
      <w:marBottom w:val="0"/>
      <w:divBdr>
        <w:top w:val="none" w:sz="0" w:space="0" w:color="auto"/>
        <w:left w:val="none" w:sz="0" w:space="0" w:color="auto"/>
        <w:bottom w:val="none" w:sz="0" w:space="0" w:color="auto"/>
        <w:right w:val="none" w:sz="0" w:space="0" w:color="auto"/>
      </w:divBdr>
    </w:div>
    <w:div w:id="1419784918">
      <w:bodyDiv w:val="1"/>
      <w:marLeft w:val="0"/>
      <w:marRight w:val="0"/>
      <w:marTop w:val="0"/>
      <w:marBottom w:val="0"/>
      <w:divBdr>
        <w:top w:val="none" w:sz="0" w:space="0" w:color="auto"/>
        <w:left w:val="none" w:sz="0" w:space="0" w:color="auto"/>
        <w:bottom w:val="none" w:sz="0" w:space="0" w:color="auto"/>
        <w:right w:val="none" w:sz="0" w:space="0" w:color="auto"/>
      </w:divBdr>
    </w:div>
    <w:div w:id="1500734306">
      <w:bodyDiv w:val="1"/>
      <w:marLeft w:val="0"/>
      <w:marRight w:val="0"/>
      <w:marTop w:val="0"/>
      <w:marBottom w:val="0"/>
      <w:divBdr>
        <w:top w:val="none" w:sz="0" w:space="0" w:color="auto"/>
        <w:left w:val="none" w:sz="0" w:space="0" w:color="auto"/>
        <w:bottom w:val="none" w:sz="0" w:space="0" w:color="auto"/>
        <w:right w:val="none" w:sz="0" w:space="0" w:color="auto"/>
      </w:divBdr>
    </w:div>
    <w:div w:id="1573390102">
      <w:bodyDiv w:val="1"/>
      <w:marLeft w:val="0"/>
      <w:marRight w:val="0"/>
      <w:marTop w:val="0"/>
      <w:marBottom w:val="0"/>
      <w:divBdr>
        <w:top w:val="none" w:sz="0" w:space="0" w:color="auto"/>
        <w:left w:val="none" w:sz="0" w:space="0" w:color="auto"/>
        <w:bottom w:val="none" w:sz="0" w:space="0" w:color="auto"/>
        <w:right w:val="none" w:sz="0" w:space="0" w:color="auto"/>
      </w:divBdr>
    </w:div>
    <w:div w:id="1603106296">
      <w:bodyDiv w:val="1"/>
      <w:marLeft w:val="0"/>
      <w:marRight w:val="0"/>
      <w:marTop w:val="0"/>
      <w:marBottom w:val="0"/>
      <w:divBdr>
        <w:top w:val="none" w:sz="0" w:space="0" w:color="auto"/>
        <w:left w:val="none" w:sz="0" w:space="0" w:color="auto"/>
        <w:bottom w:val="none" w:sz="0" w:space="0" w:color="auto"/>
        <w:right w:val="none" w:sz="0" w:space="0" w:color="auto"/>
      </w:divBdr>
    </w:div>
    <w:div w:id="1723291956">
      <w:bodyDiv w:val="1"/>
      <w:marLeft w:val="0"/>
      <w:marRight w:val="0"/>
      <w:marTop w:val="0"/>
      <w:marBottom w:val="0"/>
      <w:divBdr>
        <w:top w:val="none" w:sz="0" w:space="0" w:color="auto"/>
        <w:left w:val="none" w:sz="0" w:space="0" w:color="auto"/>
        <w:bottom w:val="none" w:sz="0" w:space="0" w:color="auto"/>
        <w:right w:val="none" w:sz="0" w:space="0" w:color="auto"/>
      </w:divBdr>
    </w:div>
    <w:div w:id="1801877980">
      <w:bodyDiv w:val="1"/>
      <w:marLeft w:val="0"/>
      <w:marRight w:val="0"/>
      <w:marTop w:val="0"/>
      <w:marBottom w:val="0"/>
      <w:divBdr>
        <w:top w:val="none" w:sz="0" w:space="0" w:color="auto"/>
        <w:left w:val="none" w:sz="0" w:space="0" w:color="auto"/>
        <w:bottom w:val="none" w:sz="0" w:space="0" w:color="auto"/>
        <w:right w:val="none" w:sz="0" w:space="0" w:color="auto"/>
      </w:divBdr>
    </w:div>
    <w:div w:id="1883395411">
      <w:bodyDiv w:val="1"/>
      <w:marLeft w:val="0"/>
      <w:marRight w:val="0"/>
      <w:marTop w:val="0"/>
      <w:marBottom w:val="0"/>
      <w:divBdr>
        <w:top w:val="none" w:sz="0" w:space="0" w:color="auto"/>
        <w:left w:val="none" w:sz="0" w:space="0" w:color="auto"/>
        <w:bottom w:val="none" w:sz="0" w:space="0" w:color="auto"/>
        <w:right w:val="none" w:sz="0" w:space="0" w:color="auto"/>
      </w:divBdr>
    </w:div>
    <w:div w:id="1895845965">
      <w:bodyDiv w:val="1"/>
      <w:marLeft w:val="0"/>
      <w:marRight w:val="0"/>
      <w:marTop w:val="0"/>
      <w:marBottom w:val="0"/>
      <w:divBdr>
        <w:top w:val="none" w:sz="0" w:space="0" w:color="auto"/>
        <w:left w:val="none" w:sz="0" w:space="0" w:color="auto"/>
        <w:bottom w:val="none" w:sz="0" w:space="0" w:color="auto"/>
        <w:right w:val="none" w:sz="0" w:space="0" w:color="auto"/>
      </w:divBdr>
    </w:div>
    <w:div w:id="1916428622">
      <w:bodyDiv w:val="1"/>
      <w:marLeft w:val="0"/>
      <w:marRight w:val="0"/>
      <w:marTop w:val="0"/>
      <w:marBottom w:val="0"/>
      <w:divBdr>
        <w:top w:val="none" w:sz="0" w:space="0" w:color="auto"/>
        <w:left w:val="none" w:sz="0" w:space="0" w:color="auto"/>
        <w:bottom w:val="none" w:sz="0" w:space="0" w:color="auto"/>
        <w:right w:val="none" w:sz="0" w:space="0" w:color="auto"/>
      </w:divBdr>
      <w:divsChild>
        <w:div w:id="529949543">
          <w:marLeft w:val="0"/>
          <w:marRight w:val="0"/>
          <w:marTop w:val="240"/>
          <w:marBottom w:val="240"/>
          <w:divBdr>
            <w:top w:val="none" w:sz="0" w:space="0" w:color="auto"/>
            <w:left w:val="none" w:sz="0" w:space="0" w:color="auto"/>
            <w:bottom w:val="none" w:sz="0" w:space="0" w:color="auto"/>
            <w:right w:val="none" w:sz="0" w:space="0" w:color="auto"/>
          </w:divBdr>
        </w:div>
        <w:div w:id="2134321653">
          <w:marLeft w:val="0"/>
          <w:marRight w:val="0"/>
          <w:marTop w:val="240"/>
          <w:marBottom w:val="240"/>
          <w:divBdr>
            <w:top w:val="none" w:sz="0" w:space="0" w:color="auto"/>
            <w:left w:val="none" w:sz="0" w:space="0" w:color="auto"/>
            <w:bottom w:val="none" w:sz="0" w:space="0" w:color="auto"/>
            <w:right w:val="none" w:sz="0" w:space="0" w:color="auto"/>
          </w:divBdr>
        </w:div>
        <w:div w:id="808401016">
          <w:marLeft w:val="0"/>
          <w:marRight w:val="0"/>
          <w:marTop w:val="240"/>
          <w:marBottom w:val="240"/>
          <w:divBdr>
            <w:top w:val="none" w:sz="0" w:space="0" w:color="auto"/>
            <w:left w:val="none" w:sz="0" w:space="0" w:color="auto"/>
            <w:bottom w:val="none" w:sz="0" w:space="0" w:color="auto"/>
            <w:right w:val="none" w:sz="0" w:space="0" w:color="auto"/>
          </w:divBdr>
        </w:div>
      </w:divsChild>
    </w:div>
    <w:div w:id="1940018518">
      <w:bodyDiv w:val="1"/>
      <w:marLeft w:val="0"/>
      <w:marRight w:val="0"/>
      <w:marTop w:val="0"/>
      <w:marBottom w:val="0"/>
      <w:divBdr>
        <w:top w:val="none" w:sz="0" w:space="0" w:color="auto"/>
        <w:left w:val="none" w:sz="0" w:space="0" w:color="auto"/>
        <w:bottom w:val="none" w:sz="0" w:space="0" w:color="auto"/>
        <w:right w:val="none" w:sz="0" w:space="0" w:color="auto"/>
      </w:divBdr>
    </w:div>
    <w:div w:id="1969359763">
      <w:bodyDiv w:val="1"/>
      <w:marLeft w:val="0"/>
      <w:marRight w:val="0"/>
      <w:marTop w:val="0"/>
      <w:marBottom w:val="0"/>
      <w:divBdr>
        <w:top w:val="none" w:sz="0" w:space="0" w:color="auto"/>
        <w:left w:val="none" w:sz="0" w:space="0" w:color="auto"/>
        <w:bottom w:val="none" w:sz="0" w:space="0" w:color="auto"/>
        <w:right w:val="none" w:sz="0" w:space="0" w:color="auto"/>
      </w:divBdr>
      <w:divsChild>
        <w:div w:id="448748079">
          <w:marLeft w:val="0"/>
          <w:marRight w:val="0"/>
          <w:marTop w:val="240"/>
          <w:marBottom w:val="240"/>
          <w:divBdr>
            <w:top w:val="none" w:sz="0" w:space="0" w:color="auto"/>
            <w:left w:val="none" w:sz="0" w:space="0" w:color="auto"/>
            <w:bottom w:val="none" w:sz="0" w:space="0" w:color="auto"/>
            <w:right w:val="none" w:sz="0" w:space="0" w:color="auto"/>
          </w:divBdr>
        </w:div>
        <w:div w:id="139272981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s://www.tshandbok.no/del-2/1-vegutforming-og-vegutstyr/doc634/" TargetMode="External"/><Relationship Id="rId39" Type="http://schemas.openxmlformats.org/officeDocument/2006/relationships/header" Target="header3.xml"/><Relationship Id="rId21" Type="http://schemas.openxmlformats.org/officeDocument/2006/relationships/hyperlink" Target="https://www.regjeringen.no/contentassets/aaee20cf5a9e468ea97fd51638c42407/no/pdfs/stm202320240014000dddpdfs.pdf" TargetMode="External"/><Relationship Id="rId34" Type="http://schemas.openxmlformats.org/officeDocument/2006/relationships/image" Target="media/image12.pn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yperlink" Target="https://viewers.vegnorm.vegvesen.no/product/859989/nb" TargetMode="External"/><Relationship Id="rId29" Type="http://schemas.openxmlformats.org/officeDocument/2006/relationships/image" Target="media/image7.png"/><Relationship Id="rId41"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iltak.no/b-endre-transportmiddelfordeling/b-3-tilrettelegging-sykkel/delesymbol-oppmerking-for-sykling-i-blandet-trafikk/" TargetMode="External"/><Relationship Id="rId32" Type="http://schemas.openxmlformats.org/officeDocument/2006/relationships/image" Target="media/image10.png"/><Relationship Id="rId37" Type="http://schemas.openxmlformats.org/officeDocument/2006/relationships/hyperlink" Target="https://www.tshandbok.no/del-2/3-trafikkregulering/doc661/" TargetMode="External"/><Relationship Id="rId40"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image" Target="media/image4.svg"/><Relationship Id="rId23" Type="http://schemas.openxmlformats.org/officeDocument/2006/relationships/hyperlink" Target="https://www.tshandbok.no/del-2/3-trafikkregulering/doc664/" TargetMode="External"/><Relationship Id="rId28" Type="http://schemas.openxmlformats.org/officeDocument/2006/relationships/image" Target="media/image6.png"/><Relationship Id="rId36" Type="http://schemas.openxmlformats.org/officeDocument/2006/relationships/hyperlink" Target="https://www.tshandbok.no/del-2/1-vegutforming-og-vegutstyr/doc622/"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tshandbok.no/del-2/2-vegvedlikehold/doc645/"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www.tshandbok.no/del-2/3-trafikkregulering/doc664/" TargetMode="External"/><Relationship Id="rId33" Type="http://schemas.openxmlformats.org/officeDocument/2006/relationships/image" Target="media/image11.png"/><Relationship Id="rId38" Type="http://schemas.openxmlformats.org/officeDocument/2006/relationships/hyperlink" Target="https://www.tiltak.no/tag/sykke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toi.no" TargetMode="External"/><Relationship Id="rId1" Type="http://schemas.openxmlformats.org/officeDocument/2006/relationships/hyperlink" Target="mailto:toi@toi.n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toi.no" TargetMode="External"/><Relationship Id="rId1" Type="http://schemas.openxmlformats.org/officeDocument/2006/relationships/hyperlink" Target="mailto:toi@toi.n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toi.no" TargetMode="External"/><Relationship Id="rId1" Type="http://schemas.openxmlformats.org/officeDocument/2006/relationships/hyperlink" Target="mailto:toi@toi.n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www.toi.no" TargetMode="External"/><Relationship Id="rId1" Type="http://schemas.openxmlformats.org/officeDocument/2006/relationships/hyperlink" Target="mailto:toi@toi.no" TargetMode="External"/></Relationships>
</file>

<file path=word/theme/theme1.xml><?xml version="1.0" encoding="utf-8"?>
<a:theme xmlns:a="http://schemas.openxmlformats.org/drawingml/2006/main" name="TØI">
  <a:themeElements>
    <a:clrScheme name="TØI">
      <a:dk1>
        <a:sysClr val="windowText" lastClr="000000"/>
      </a:dk1>
      <a:lt1>
        <a:sysClr val="window" lastClr="FFFFFF"/>
      </a:lt1>
      <a:dk2>
        <a:srgbClr val="7B715E"/>
      </a:dk2>
      <a:lt2>
        <a:srgbClr val="E7E5E1"/>
      </a:lt2>
      <a:accent1>
        <a:srgbClr val="3F868D"/>
      </a:accent1>
      <a:accent2>
        <a:srgbClr val="C5CC8E"/>
      </a:accent2>
      <a:accent3>
        <a:srgbClr val="D3741C"/>
      </a:accent3>
      <a:accent4>
        <a:srgbClr val="FFE271"/>
      </a:accent4>
      <a:accent5>
        <a:srgbClr val="8BC9DD"/>
      </a:accent5>
      <a:accent6>
        <a:srgbClr val="336699"/>
      </a:accent6>
      <a:hlink>
        <a:srgbClr val="336699"/>
      </a:hlink>
      <a:folHlink>
        <a:srgbClr val="777777"/>
      </a:folHlink>
    </a:clrScheme>
    <a:fontScheme name="TØI">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C5029D78F0DFA4CA9DD0C1EFF77F924" ma:contentTypeVersion="11" ma:contentTypeDescription="Opprett et nytt dokument." ma:contentTypeScope="" ma:versionID="43b43324dda889c9396df4773b65e323">
  <xsd:schema xmlns:xsd="http://www.w3.org/2001/XMLSchema" xmlns:xs="http://www.w3.org/2001/XMLSchema" xmlns:p="http://schemas.microsoft.com/office/2006/metadata/properties" xmlns:ns2="9f246d1a-ef4d-4fa8-bc51-274bd3dfd3d9" xmlns:ns3="d147026c-9d1e-4c2f-8845-ac7b73f466a1" targetNamespace="http://schemas.microsoft.com/office/2006/metadata/properties" ma:root="true" ma:fieldsID="dba1b56c1336beb3e2b1a6a29b8ec74f" ns2:_="" ns3:_="">
    <xsd:import namespace="9f246d1a-ef4d-4fa8-bc51-274bd3dfd3d9"/>
    <xsd:import namespace="d147026c-9d1e-4c2f-8845-ac7b73f466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46d1a-ef4d-4fa8-bc51-274bd3dfd3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63fc7669-dfc1-4e3c-b7ef-b6d215c554b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7026c-9d1e-4c2f-8845-ac7b73f466a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0ea8e0-aae9-40eb-aa2c-86c016996304}" ma:internalName="TaxCatchAll" ma:showField="CatchAllData" ma:web="d147026c-9d1e-4c2f-8845-ac7b73f46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47026c-9d1e-4c2f-8845-ac7b73f466a1" xsi:nil="true"/>
    <lcf76f155ced4ddcb4097134ff3c332f xmlns="9f246d1a-ef4d-4fa8-bc51-274bd3dfd3d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E1E06E-4183-4834-A666-3F58142055F1}">
  <ds:schemaRefs>
    <ds:schemaRef ds:uri="http://schemas.microsoft.com/sharepoint/v3/contenttype/forms"/>
  </ds:schemaRefs>
</ds:datastoreItem>
</file>

<file path=customXml/itemProps2.xml><?xml version="1.0" encoding="utf-8"?>
<ds:datastoreItem xmlns:ds="http://schemas.openxmlformats.org/officeDocument/2006/customXml" ds:itemID="{7688BEA5-F4DA-4651-90BA-6E59D975B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46d1a-ef4d-4fa8-bc51-274bd3dfd3d9"/>
    <ds:schemaRef ds:uri="d147026c-9d1e-4c2f-8845-ac7b73f46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66A754-6BE5-43F0-A840-BA36BD667792}">
  <ds:schemaRefs>
    <ds:schemaRef ds:uri="http://schemas.microsoft.com/office/2006/metadata/properties"/>
    <ds:schemaRef ds:uri="http://schemas.microsoft.com/office/infopath/2007/PartnerControls"/>
    <ds:schemaRef ds:uri="d147026c-9d1e-4c2f-8845-ac7b73f466a1"/>
    <ds:schemaRef ds:uri="9f246d1a-ef4d-4fa8-bc51-274bd3dfd3d9"/>
  </ds:schemaRefs>
</ds:datastoreItem>
</file>

<file path=customXml/itemProps4.xml><?xml version="1.0" encoding="utf-8"?>
<ds:datastoreItem xmlns:ds="http://schemas.openxmlformats.org/officeDocument/2006/customXml" ds:itemID="{97BB2FDA-F71E-4BCA-842A-8912B744A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34</Pages>
  <Words>12861</Words>
  <Characters>78020</Characters>
  <Application>Microsoft Office Word</Application>
  <DocSecurity>0</DocSecurity>
  <Lines>650</Lines>
  <Paragraphs>181</Paragraphs>
  <ScaleCrop>false</ScaleCrop>
  <HeadingPairs>
    <vt:vector size="2" baseType="variant">
      <vt:variant>
        <vt:lpstr>Tittel</vt:lpstr>
      </vt:variant>
      <vt:variant>
        <vt:i4>1</vt:i4>
      </vt:variant>
    </vt:vector>
  </HeadingPairs>
  <TitlesOfParts>
    <vt:vector size="1" baseType="lpstr">
      <vt:lpstr>Tittel</vt:lpstr>
    </vt:vector>
  </TitlesOfParts>
  <Manager/>
  <Company>TØI</Company>
  <LinksUpToDate>false</LinksUpToDate>
  <CharactersWithSpaces>90700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Tittel</dc:title>
  <dc:subject/>
  <dc:creator>Alena Katharina Høye</dc:creator>
  <cp:lastModifiedBy>Alena Katharina Høye</cp:lastModifiedBy>
  <cp:revision>6</cp:revision>
  <cp:lastPrinted>2022-06-15T10:40:00Z</cp:lastPrinted>
  <dcterms:created xsi:type="dcterms:W3CDTF">2025-08-22T09:15:00Z</dcterms:created>
  <dcterms:modified xsi:type="dcterms:W3CDTF">2025-08-22T10:01:00Z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linkTarget="_Hlk100324782">
    <vt:lpwstr>**</vt:lpwstr>
  </property>
  <property fmtid="{D5CDD505-2E9C-101B-9397-08002B2CF9AE}" pid="3" name="ContentTypeId">
    <vt:lpwstr>0x010100AC5029D78F0DFA4CA9DD0C1EFF77F924</vt:lpwstr>
  </property>
  <property fmtid="{D5CDD505-2E9C-101B-9397-08002B2CF9AE}" pid="4" name="MediaServiceImageTags">
    <vt:lpwstr/>
  </property>
  <property fmtid="{D5CDD505-2E9C-101B-9397-08002B2CF9AE}" pid="5" name="MSIP_Label_86eae731-f11e-4017-952e-3dce43580afc_Enabled">
    <vt:lpwstr>true</vt:lpwstr>
  </property>
  <property fmtid="{D5CDD505-2E9C-101B-9397-08002B2CF9AE}" pid="6" name="MSIP_Label_86eae731-f11e-4017-952e-3dce43580afc_SetDate">
    <vt:lpwstr>2025-06-19T06:33:33Z</vt:lpwstr>
  </property>
  <property fmtid="{D5CDD505-2E9C-101B-9397-08002B2CF9AE}" pid="7" name="MSIP_Label_86eae731-f11e-4017-952e-3dce43580afc_Method">
    <vt:lpwstr>Privileged</vt:lpwstr>
  </property>
  <property fmtid="{D5CDD505-2E9C-101B-9397-08002B2CF9AE}" pid="8" name="MSIP_Label_86eae731-f11e-4017-952e-3dce43580afc_Name">
    <vt:lpwstr>Public-new</vt:lpwstr>
  </property>
  <property fmtid="{D5CDD505-2E9C-101B-9397-08002B2CF9AE}" pid="9" name="MSIP_Label_86eae731-f11e-4017-952e-3dce43580afc_SiteId">
    <vt:lpwstr>38856954-ed55-49f7-8bdd-738ffbbfd390</vt:lpwstr>
  </property>
  <property fmtid="{D5CDD505-2E9C-101B-9397-08002B2CF9AE}" pid="10" name="MSIP_Label_86eae731-f11e-4017-952e-3dce43580afc_ActionId">
    <vt:lpwstr>3976d7d0-9f99-4726-8ba4-965de1a7d426</vt:lpwstr>
  </property>
  <property fmtid="{D5CDD505-2E9C-101B-9397-08002B2CF9AE}" pid="11" name="MSIP_Label_86eae731-f11e-4017-952e-3dce43580afc_ContentBits">
    <vt:lpwstr>0</vt:lpwstr>
  </property>
</Properties>
</file>